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8E65" w14:textId="55704B16" w:rsidR="00C805E7" w:rsidRPr="00E10649" w:rsidRDefault="00FB3753" w:rsidP="00653C91">
      <w:pPr>
        <w:spacing w:before="0" w:line="360" w:lineRule="auto"/>
        <w:jc w:val="right"/>
        <w:rPr>
          <w:rFonts w:cs="Arial"/>
          <w:sz w:val="20"/>
        </w:rPr>
      </w:pPr>
      <w:r w:rsidRPr="00E10649">
        <w:rPr>
          <w:rFonts w:cs="Arial"/>
          <w:sz w:val="20"/>
        </w:rPr>
        <w:t xml:space="preserve">Załącznik  do Zarządzenia Nr </w:t>
      </w:r>
      <w:r w:rsidR="00E10649" w:rsidRPr="00E10649">
        <w:rPr>
          <w:sz w:val="20"/>
        </w:rPr>
        <w:t>A-0212-7/22</w:t>
      </w:r>
      <w:r w:rsidRPr="00E10649">
        <w:rPr>
          <w:rFonts w:cs="Arial"/>
          <w:sz w:val="20"/>
        </w:rPr>
        <w:t xml:space="preserve"> </w:t>
      </w:r>
    </w:p>
    <w:p w14:paraId="3DC76CB1" w14:textId="77777777" w:rsidR="00FB3753" w:rsidRPr="00653C91" w:rsidRDefault="00FB3753" w:rsidP="00653C91">
      <w:pPr>
        <w:spacing w:before="0" w:line="360" w:lineRule="auto"/>
        <w:jc w:val="right"/>
        <w:rPr>
          <w:rFonts w:cs="Arial"/>
          <w:sz w:val="22"/>
          <w:szCs w:val="22"/>
        </w:rPr>
      </w:pPr>
      <w:r w:rsidRPr="00653C91">
        <w:rPr>
          <w:rFonts w:cs="Arial"/>
          <w:sz w:val="22"/>
          <w:szCs w:val="22"/>
        </w:rPr>
        <w:t xml:space="preserve">Prezesa i Dyrektora Sądu Rejonowego </w:t>
      </w:r>
      <w:r w:rsidR="000B54BB">
        <w:rPr>
          <w:rFonts w:cs="Arial"/>
          <w:sz w:val="22"/>
          <w:szCs w:val="22"/>
        </w:rPr>
        <w:t xml:space="preserve">w Rzeszowie </w:t>
      </w:r>
    </w:p>
    <w:p w14:paraId="26A19E64" w14:textId="77777777" w:rsidR="00FB3753" w:rsidRPr="00653C91" w:rsidRDefault="00BD0257" w:rsidP="00653C91">
      <w:pPr>
        <w:spacing w:before="0" w:line="360" w:lineRule="auto"/>
        <w:jc w:val="center"/>
        <w:rPr>
          <w:rFonts w:cs="Arial"/>
          <w:sz w:val="20"/>
        </w:rPr>
      </w:pPr>
      <w:r w:rsidRPr="00653C91">
        <w:rPr>
          <w:rFonts w:cs="Arial"/>
          <w:sz w:val="20"/>
        </w:rPr>
        <w:t xml:space="preserve">. </w:t>
      </w:r>
    </w:p>
    <w:p w14:paraId="21461EDF" w14:textId="77777777" w:rsidR="00FB3753" w:rsidRPr="00653C91" w:rsidRDefault="00FB3753" w:rsidP="00653C91">
      <w:pPr>
        <w:spacing w:before="0" w:line="360" w:lineRule="auto"/>
        <w:jc w:val="center"/>
        <w:rPr>
          <w:rFonts w:cs="Arial"/>
          <w:sz w:val="20"/>
        </w:rPr>
      </w:pPr>
    </w:p>
    <w:p w14:paraId="1A1B21DD" w14:textId="77777777" w:rsidR="00FB3753" w:rsidRPr="00653C91" w:rsidRDefault="00FB3753" w:rsidP="00653C91">
      <w:pPr>
        <w:spacing w:before="0" w:line="360" w:lineRule="auto"/>
        <w:jc w:val="center"/>
        <w:rPr>
          <w:rFonts w:cs="Arial"/>
          <w:sz w:val="20"/>
        </w:rPr>
      </w:pPr>
    </w:p>
    <w:p w14:paraId="1DEECE63" w14:textId="77777777" w:rsidR="007662C9" w:rsidRPr="00653C91" w:rsidRDefault="007662C9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PROCEDURA ZGŁASZANIA NIEPRAWIDŁOWOŚCI</w:t>
      </w:r>
    </w:p>
    <w:p w14:paraId="6D708128" w14:textId="77777777" w:rsidR="007662C9" w:rsidRDefault="007662C9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 xml:space="preserve">W SĄDZIE REJONOWYM W </w:t>
      </w:r>
      <w:r w:rsidR="00B47467">
        <w:rPr>
          <w:rFonts w:cs="Arial"/>
          <w:b/>
          <w:szCs w:val="24"/>
        </w:rPr>
        <w:t>RZESZOWIE</w:t>
      </w:r>
    </w:p>
    <w:p w14:paraId="1017C987" w14:textId="77777777" w:rsidR="00407DC8" w:rsidRPr="00653C91" w:rsidRDefault="00407DC8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</w:p>
    <w:p w14:paraId="7B9B0C64" w14:textId="77777777" w:rsidR="007662C9" w:rsidRDefault="00407DC8" w:rsidP="00407DC8">
      <w:pPr>
        <w:spacing w:before="0" w:after="60" w:line="360" w:lineRule="auto"/>
        <w:jc w:val="both"/>
        <w:rPr>
          <w:rStyle w:val="BodytextSpacing2pt"/>
          <w:rFonts w:ascii="Arial" w:hAnsi="Arial" w:cs="Arial"/>
          <w:color w:val="auto"/>
          <w:spacing w:val="0"/>
          <w:sz w:val="24"/>
          <w:szCs w:val="24"/>
          <w:lang w:bidi="ar-SA"/>
        </w:rPr>
      </w:pPr>
      <w:r w:rsidRPr="00407DC8">
        <w:rPr>
          <w:rStyle w:val="BodytextSpacing2pt"/>
          <w:rFonts w:ascii="Arial" w:hAnsi="Arial" w:cs="Arial"/>
          <w:color w:val="auto"/>
          <w:spacing w:val="0"/>
          <w:sz w:val="24"/>
          <w:szCs w:val="24"/>
          <w:lang w:bidi="ar-SA"/>
        </w:rPr>
        <w:t>Regulamin zgłoszeń nieprawidłowości i ochrony osób zgłaszających naruszenia prawa w</w:t>
      </w:r>
      <w:r w:rsidR="00A152F3">
        <w:rPr>
          <w:rStyle w:val="BodytextSpacing2pt"/>
          <w:rFonts w:ascii="Arial" w:hAnsi="Arial" w:cs="Arial"/>
          <w:color w:val="auto"/>
          <w:spacing w:val="0"/>
          <w:sz w:val="24"/>
          <w:szCs w:val="24"/>
          <w:lang w:bidi="ar-SA"/>
        </w:rPr>
        <w:t> </w:t>
      </w:r>
      <w:r w:rsidRPr="00407DC8">
        <w:rPr>
          <w:rStyle w:val="BodytextSpacing2pt"/>
          <w:rFonts w:ascii="Arial" w:hAnsi="Arial" w:cs="Arial"/>
          <w:color w:val="auto"/>
          <w:spacing w:val="0"/>
          <w:sz w:val="24"/>
          <w:szCs w:val="24"/>
          <w:lang w:bidi="ar-SA"/>
        </w:rPr>
        <w:t xml:space="preserve">Sądzie </w:t>
      </w:r>
      <w:r>
        <w:rPr>
          <w:rStyle w:val="BodytextSpacing2pt"/>
          <w:rFonts w:ascii="Arial" w:hAnsi="Arial" w:cs="Arial"/>
          <w:color w:val="auto"/>
          <w:spacing w:val="0"/>
          <w:sz w:val="24"/>
          <w:szCs w:val="24"/>
          <w:lang w:bidi="ar-SA"/>
        </w:rPr>
        <w:t xml:space="preserve">Rejonowym w Rzeszowie </w:t>
      </w:r>
      <w:r w:rsidRPr="00407DC8">
        <w:rPr>
          <w:rStyle w:val="BodytextSpacing2pt"/>
          <w:rFonts w:ascii="Arial" w:hAnsi="Arial" w:cs="Arial"/>
          <w:color w:val="auto"/>
          <w:spacing w:val="0"/>
          <w:sz w:val="24"/>
          <w:szCs w:val="24"/>
          <w:lang w:bidi="ar-SA"/>
        </w:rPr>
        <w:t>powstał w obowiązku wykonania Dyrektywy z dnia 23 października 2019r. Parlamentu Europejskiego i Rady Unii Europejskiej w sprawie ochrony osób zgłaszających naruszenia prawa Unii i określa utworzenie wewnętrznego systemu zgłoszeń, monitorowania, wykrywania i rozwiązywania sytuacji związanych z wystąpieniem nieprawidłowości i naruszeń prawa</w:t>
      </w:r>
      <w:r w:rsidR="000B54BB">
        <w:rPr>
          <w:rStyle w:val="BodytextSpacing2pt"/>
          <w:rFonts w:ascii="Arial" w:hAnsi="Arial" w:cs="Arial"/>
          <w:color w:val="auto"/>
          <w:spacing w:val="0"/>
          <w:sz w:val="24"/>
          <w:szCs w:val="24"/>
          <w:lang w:bidi="ar-SA"/>
        </w:rPr>
        <w:t>.</w:t>
      </w:r>
    </w:p>
    <w:p w14:paraId="06375C0E" w14:textId="77777777" w:rsidR="000B54BB" w:rsidRPr="00653C91" w:rsidRDefault="000B54BB" w:rsidP="00407DC8">
      <w:pPr>
        <w:spacing w:before="0" w:after="60" w:line="360" w:lineRule="auto"/>
        <w:jc w:val="both"/>
        <w:rPr>
          <w:rStyle w:val="BodytextSpacing2pt"/>
          <w:rFonts w:ascii="Arial" w:hAnsi="Arial" w:cs="Arial"/>
          <w:color w:val="auto"/>
          <w:spacing w:val="0"/>
          <w:sz w:val="24"/>
          <w:szCs w:val="24"/>
          <w:lang w:bidi="ar-SA"/>
        </w:rPr>
      </w:pPr>
    </w:p>
    <w:p w14:paraId="14D34527" w14:textId="77777777" w:rsidR="007662C9" w:rsidRPr="00653C91" w:rsidRDefault="009A1C65" w:rsidP="00653C91">
      <w:pPr>
        <w:spacing w:before="0" w:after="60" w:line="360" w:lineRule="auto"/>
        <w:jc w:val="center"/>
        <w:rPr>
          <w:rStyle w:val="BodytextSpacing2pt"/>
          <w:rFonts w:ascii="Arial" w:hAnsi="Arial" w:cs="Arial"/>
          <w:b/>
          <w:color w:val="auto"/>
          <w:spacing w:val="0"/>
          <w:sz w:val="22"/>
          <w:szCs w:val="22"/>
          <w:lang w:bidi="ar-SA"/>
        </w:rPr>
      </w:pPr>
      <w:r w:rsidRPr="00653C91">
        <w:rPr>
          <w:rStyle w:val="BodytextSpacing2pt"/>
          <w:rFonts w:ascii="Arial" w:hAnsi="Arial" w:cs="Arial"/>
          <w:b/>
          <w:color w:val="auto"/>
          <w:spacing w:val="0"/>
          <w:sz w:val="22"/>
          <w:szCs w:val="22"/>
          <w:lang w:bidi="ar-SA"/>
        </w:rPr>
        <w:t>§</w:t>
      </w:r>
      <w:r w:rsidR="007662C9" w:rsidRPr="00653C91">
        <w:rPr>
          <w:rStyle w:val="BodytextSpacing2pt"/>
          <w:rFonts w:ascii="Arial" w:hAnsi="Arial" w:cs="Arial"/>
          <w:b/>
          <w:color w:val="auto"/>
          <w:spacing w:val="0"/>
          <w:sz w:val="22"/>
          <w:szCs w:val="22"/>
          <w:lang w:bidi="ar-SA"/>
        </w:rPr>
        <w:t xml:space="preserve"> </w:t>
      </w:r>
      <w:r w:rsidRPr="00653C91">
        <w:rPr>
          <w:rStyle w:val="BodytextSpacing2pt"/>
          <w:rFonts w:ascii="Arial" w:hAnsi="Arial" w:cs="Arial"/>
          <w:b/>
          <w:color w:val="auto"/>
          <w:spacing w:val="0"/>
          <w:sz w:val="22"/>
          <w:szCs w:val="22"/>
          <w:lang w:bidi="ar-SA"/>
        </w:rPr>
        <w:t>1</w:t>
      </w:r>
      <w:bookmarkStart w:id="0" w:name="bookmark0"/>
    </w:p>
    <w:p w14:paraId="0810A843" w14:textId="77777777" w:rsidR="007662C9" w:rsidRPr="00653C91" w:rsidRDefault="007662C9" w:rsidP="00653C91">
      <w:pPr>
        <w:spacing w:before="0" w:after="60" w:line="360" w:lineRule="auto"/>
        <w:jc w:val="center"/>
        <w:rPr>
          <w:rFonts w:eastAsia="Segoe UI" w:cs="Arial"/>
          <w:b/>
          <w:sz w:val="22"/>
          <w:szCs w:val="22"/>
        </w:rPr>
      </w:pPr>
      <w:r w:rsidRPr="00653C91">
        <w:rPr>
          <w:rFonts w:cs="Arial"/>
          <w:b/>
          <w:sz w:val="22"/>
          <w:szCs w:val="22"/>
        </w:rPr>
        <w:t>DEFINICJ</w:t>
      </w:r>
      <w:bookmarkEnd w:id="0"/>
      <w:r w:rsidRPr="00653C91">
        <w:rPr>
          <w:rFonts w:cs="Arial"/>
          <w:b/>
          <w:sz w:val="22"/>
          <w:szCs w:val="22"/>
        </w:rPr>
        <w:t>E</w:t>
      </w:r>
    </w:p>
    <w:p w14:paraId="0213C392" w14:textId="77777777" w:rsidR="008D0621" w:rsidRPr="00653C91" w:rsidRDefault="008D0621" w:rsidP="00653C91">
      <w:pPr>
        <w:spacing w:before="0" w:after="60" w:line="360" w:lineRule="auto"/>
        <w:rPr>
          <w:rFonts w:cs="Arial"/>
          <w:szCs w:val="24"/>
        </w:rPr>
      </w:pPr>
      <w:r w:rsidRPr="00653C91">
        <w:rPr>
          <w:rFonts w:cs="Arial"/>
          <w:szCs w:val="24"/>
        </w:rPr>
        <w:t>Użyte w niniejszej procedurze określenia oznaczają:</w:t>
      </w:r>
    </w:p>
    <w:p w14:paraId="4B42787A" w14:textId="77777777" w:rsidR="009A1C65" w:rsidRPr="00653C91" w:rsidRDefault="009A1C65" w:rsidP="00CA634E">
      <w:pPr>
        <w:pStyle w:val="Akapitzlist"/>
        <w:numPr>
          <w:ilvl w:val="0"/>
          <w:numId w:val="22"/>
        </w:numPr>
        <w:spacing w:before="0" w:after="60" w:line="360" w:lineRule="auto"/>
        <w:ind w:left="0" w:firstLine="0"/>
        <w:contextualSpacing w:val="0"/>
        <w:jc w:val="both"/>
        <w:rPr>
          <w:rFonts w:cs="Arial"/>
        </w:rPr>
      </w:pPr>
      <w:r w:rsidRPr="00A152F3">
        <w:rPr>
          <w:rFonts w:eastAsia="Segoe UI" w:cs="Arial"/>
          <w:b/>
        </w:rPr>
        <w:t>Sąd</w:t>
      </w:r>
      <w:r w:rsidRPr="00653C91">
        <w:rPr>
          <w:rFonts w:eastAsia="Segoe UI" w:cs="Arial"/>
        </w:rPr>
        <w:t xml:space="preserve"> - </w:t>
      </w:r>
      <w:r w:rsidR="007662C9" w:rsidRPr="00653C91">
        <w:rPr>
          <w:rFonts w:cs="Arial"/>
        </w:rPr>
        <w:t xml:space="preserve">Sąd Rejonowy w </w:t>
      </w:r>
      <w:r w:rsidR="00653C91">
        <w:rPr>
          <w:rFonts w:cs="Arial"/>
        </w:rPr>
        <w:t>Rzeszowie</w:t>
      </w:r>
      <w:r w:rsidR="00536B09" w:rsidRPr="00653C91">
        <w:rPr>
          <w:rFonts w:cs="Arial"/>
        </w:rPr>
        <w:t>;</w:t>
      </w:r>
    </w:p>
    <w:p w14:paraId="5014C241" w14:textId="77777777" w:rsidR="00874033" w:rsidRDefault="00CA634E" w:rsidP="00653C91">
      <w:pPr>
        <w:pStyle w:val="Akapitzlist"/>
        <w:numPr>
          <w:ilvl w:val="0"/>
          <w:numId w:val="22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>
        <w:rPr>
          <w:rFonts w:eastAsia="Segoe UI" w:cs="Arial"/>
          <w:b/>
        </w:rPr>
        <w:t xml:space="preserve">      </w:t>
      </w:r>
      <w:r w:rsidR="00874033" w:rsidRPr="00A152F3">
        <w:rPr>
          <w:rFonts w:eastAsia="Segoe UI" w:cs="Arial"/>
          <w:b/>
        </w:rPr>
        <w:t xml:space="preserve">pracownik </w:t>
      </w:r>
      <w:r w:rsidR="00874033" w:rsidRPr="00653C91">
        <w:rPr>
          <w:rFonts w:eastAsia="Segoe UI" w:cs="Arial"/>
        </w:rPr>
        <w:t xml:space="preserve">- </w:t>
      </w:r>
      <w:r w:rsidR="00874033" w:rsidRPr="00653C91">
        <w:rPr>
          <w:rFonts w:cs="Arial"/>
        </w:rPr>
        <w:t>osob</w:t>
      </w:r>
      <w:r w:rsidR="008D0621" w:rsidRPr="00653C91">
        <w:rPr>
          <w:rFonts w:cs="Arial"/>
        </w:rPr>
        <w:t>a</w:t>
      </w:r>
      <w:r w:rsidR="00874033" w:rsidRPr="00653C91">
        <w:rPr>
          <w:rFonts w:cs="Arial"/>
        </w:rPr>
        <w:t xml:space="preserve"> pozostając</w:t>
      </w:r>
      <w:r w:rsidR="008D0621" w:rsidRPr="00653C91">
        <w:rPr>
          <w:rFonts w:cs="Arial"/>
        </w:rPr>
        <w:t>a</w:t>
      </w:r>
      <w:r w:rsidR="00874033" w:rsidRPr="00653C91">
        <w:rPr>
          <w:rFonts w:cs="Arial"/>
        </w:rPr>
        <w:t xml:space="preserve"> w stosunku pracy z Sądem w rozumieniu przepisu art. 22 § 1 Kodeksu pracy</w:t>
      </w:r>
    </w:p>
    <w:p w14:paraId="476D119A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142" w:hanging="142"/>
        <w:jc w:val="both"/>
        <w:rPr>
          <w:rStyle w:val="BodytextBoldSpacing0pt"/>
          <w:rFonts w:ascii="Arial" w:hAnsi="Arial" w:cs="Arial"/>
          <w:b w:val="0"/>
          <w:sz w:val="24"/>
          <w:szCs w:val="24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współpracownik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- osoba świadcząca usługi na rzecz Sądu na podstawie umowy cywilnoprawnej;</w:t>
      </w:r>
    </w:p>
    <w:p w14:paraId="3E49208E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426"/>
        <w:jc w:val="both"/>
        <w:rPr>
          <w:rFonts w:ascii="Arial" w:hAnsi="Arial" w:cs="Arial"/>
          <w:bCs/>
          <w:color w:val="000000"/>
          <w:spacing w:val="0"/>
          <w:sz w:val="24"/>
          <w:szCs w:val="24"/>
          <w:lang w:eastAsia="pl-PL" w:bidi="pl-PL"/>
        </w:rPr>
      </w:pPr>
      <w:r>
        <w:rPr>
          <w:rStyle w:val="BodytextBoldSpacing0pt"/>
          <w:rFonts w:ascii="Arial" w:hAnsi="Arial" w:cs="Arial"/>
          <w:sz w:val="24"/>
          <w:szCs w:val="24"/>
        </w:rPr>
        <w:t xml:space="preserve">    </w:t>
      </w:r>
      <w:r w:rsidRPr="00A152F3">
        <w:rPr>
          <w:rStyle w:val="BodytextBoldSpacing0pt"/>
          <w:rFonts w:ascii="Arial" w:hAnsi="Arial" w:cs="Arial"/>
          <w:sz w:val="24"/>
          <w:szCs w:val="24"/>
        </w:rPr>
        <w:t>Kierownictwo Sądu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–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 Prezes Sądu oraz Dyrektor Sądu;</w:t>
      </w:r>
    </w:p>
    <w:p w14:paraId="1672B8BC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Style w:val="BodytextBoldSpacing0pt"/>
          <w:rFonts w:ascii="Arial" w:hAnsi="Arial" w:cs="Arial"/>
          <w:b w:val="0"/>
          <w:sz w:val="24"/>
          <w:szCs w:val="24"/>
        </w:rPr>
      </w:pPr>
      <w:r w:rsidRPr="00A152F3">
        <w:rPr>
          <w:rFonts w:ascii="Arial" w:hAnsi="Arial" w:cs="Arial"/>
          <w:b/>
          <w:spacing w:val="0"/>
          <w:sz w:val="24"/>
          <w:szCs w:val="24"/>
        </w:rPr>
        <w:t>Koordynator ds.</w:t>
      </w:r>
      <w:r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Pr="00A152F3">
        <w:rPr>
          <w:rFonts w:ascii="Arial" w:hAnsi="Arial" w:cs="Arial"/>
          <w:b/>
          <w:spacing w:val="0"/>
          <w:sz w:val="24"/>
          <w:szCs w:val="24"/>
        </w:rPr>
        <w:t>zgodności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o</w:t>
      </w:r>
      <w:r w:rsidRPr="00653C91">
        <w:rPr>
          <w:rFonts w:ascii="Arial" w:hAnsi="Arial" w:cs="Arial"/>
          <w:spacing w:val="0"/>
          <w:sz w:val="24"/>
          <w:szCs w:val="24"/>
        </w:rPr>
        <w:t>soba odpowiedzialna za proces rozpatrzenia zgłoszenia nieprawidłowości, zgodnie z §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4 niniejszej procedury;</w:t>
      </w:r>
    </w:p>
    <w:p w14:paraId="4A25D345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Fonts w:ascii="Arial" w:hAnsi="Arial" w:cs="Arial"/>
          <w:bCs/>
          <w:color w:val="000000"/>
          <w:spacing w:val="0"/>
          <w:sz w:val="24"/>
          <w:szCs w:val="24"/>
          <w:lang w:eastAsia="pl-PL" w:bidi="pl-PL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komisja wyjaśniająca/komisja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</w:t>
      </w:r>
      <w:r w:rsidRPr="00653C91">
        <w:rPr>
          <w:rFonts w:ascii="Arial" w:hAnsi="Arial" w:cs="Arial"/>
          <w:spacing w:val="0"/>
          <w:sz w:val="24"/>
          <w:szCs w:val="24"/>
        </w:rPr>
        <w:t>wewnętrzna komisja powołana do kompleksowego wyjaśnienia okoliczności wskazanych w zgłoszeniu nieprawidłowości;</w:t>
      </w:r>
    </w:p>
    <w:p w14:paraId="2826E924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Style w:val="BodytextBoldSpacing0pt"/>
          <w:rFonts w:ascii="Arial" w:hAnsi="Arial" w:cs="Arial"/>
          <w:b w:val="0"/>
          <w:sz w:val="24"/>
          <w:szCs w:val="24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osoba uprawniona do dokonania zgłoszenia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</w:t>
      </w:r>
      <w:r w:rsidRPr="00653C91">
        <w:rPr>
          <w:rFonts w:ascii="Arial" w:hAnsi="Arial" w:cs="Arial"/>
          <w:spacing w:val="0"/>
          <w:sz w:val="24"/>
          <w:szCs w:val="24"/>
        </w:rPr>
        <w:t>osoba wskazana w §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3 ust.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1 niniejszej procedury;</w:t>
      </w:r>
    </w:p>
    <w:p w14:paraId="77CAD334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Fonts w:ascii="Arial" w:hAnsi="Arial" w:cs="Arial"/>
          <w:bCs/>
          <w:color w:val="000000"/>
          <w:spacing w:val="0"/>
          <w:sz w:val="24"/>
          <w:szCs w:val="24"/>
          <w:lang w:eastAsia="pl-PL" w:bidi="pl-PL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zgłaszający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</w:t>
      </w:r>
      <w:r w:rsidRPr="00653C91">
        <w:rPr>
          <w:rFonts w:ascii="Arial" w:hAnsi="Arial" w:cs="Arial"/>
          <w:spacing w:val="0"/>
          <w:sz w:val="24"/>
          <w:szCs w:val="24"/>
        </w:rPr>
        <w:t>osoba dokonująca zgłoszenia nieprawidłowości przy wykorzystaniu kanałów zgłoszeniowych określonych w niniejszej procedurze;</w:t>
      </w:r>
    </w:p>
    <w:p w14:paraId="3B157CE2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Fonts w:ascii="Arial" w:hAnsi="Arial" w:cs="Arial"/>
          <w:bCs/>
          <w:color w:val="000000"/>
          <w:spacing w:val="0"/>
          <w:sz w:val="24"/>
          <w:szCs w:val="24"/>
          <w:lang w:eastAsia="pl-PL" w:bidi="pl-PL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sygnalista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</w:t>
      </w:r>
      <w:r w:rsidRPr="00653C91">
        <w:rPr>
          <w:rFonts w:ascii="Arial" w:hAnsi="Arial" w:cs="Arial"/>
          <w:spacing w:val="0"/>
          <w:sz w:val="24"/>
          <w:szCs w:val="24"/>
        </w:rPr>
        <w:t>osoba dokonująca zgłoszenia nieprawidłowości, której przyznano status sygnalisty na zasadach określonych w niniejszej procedurze;</w:t>
      </w:r>
    </w:p>
    <w:p w14:paraId="4264C1D8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Style w:val="BodytextBoldSpacing0pt"/>
          <w:rFonts w:ascii="Arial" w:hAnsi="Arial" w:cs="Arial"/>
          <w:b w:val="0"/>
          <w:sz w:val="24"/>
          <w:szCs w:val="24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lastRenderedPageBreak/>
        <w:t>procedura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</w:t>
      </w:r>
      <w:r w:rsidRPr="00653C91">
        <w:rPr>
          <w:rFonts w:ascii="Arial" w:hAnsi="Arial" w:cs="Arial"/>
          <w:spacing w:val="0"/>
          <w:sz w:val="24"/>
          <w:szCs w:val="24"/>
        </w:rPr>
        <w:t>niniejsza procedura zgłaszania nieprawidłowości w Sądzie;</w:t>
      </w:r>
    </w:p>
    <w:p w14:paraId="2E6D49D8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Style w:val="BodytextBoldSpacing0pt"/>
          <w:rFonts w:ascii="Arial" w:hAnsi="Arial" w:cs="Arial"/>
          <w:b w:val="0"/>
          <w:sz w:val="24"/>
          <w:szCs w:val="24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 xml:space="preserve">procedura </w:t>
      </w:r>
      <w:proofErr w:type="spellStart"/>
      <w:r w:rsidRPr="00A152F3">
        <w:rPr>
          <w:rStyle w:val="BodytextBoldSpacing0pt"/>
          <w:rFonts w:ascii="Arial" w:hAnsi="Arial" w:cs="Arial"/>
          <w:sz w:val="24"/>
          <w:szCs w:val="24"/>
        </w:rPr>
        <w:t>antymobbingowa</w:t>
      </w:r>
      <w:proofErr w:type="spellEnd"/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- procedura przeciwdziałania zjawiskom niepożądanym w zatrudnieniu w Sądzie;</w:t>
      </w:r>
    </w:p>
    <w:p w14:paraId="31B6BD29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Fonts w:ascii="Arial" w:hAnsi="Arial" w:cs="Arial"/>
          <w:spacing w:val="0"/>
          <w:sz w:val="24"/>
          <w:szCs w:val="24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zgłoszenie nieprawidłowości/zgłoszenie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</w:t>
      </w:r>
      <w:r w:rsidRPr="00653C91">
        <w:rPr>
          <w:rStyle w:val="BodytextBoldSpacing0pt"/>
          <w:rFonts w:ascii="Arial" w:hAnsi="Arial" w:cs="Arial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przekazanie w trybie określonym w</w:t>
      </w:r>
      <w:r>
        <w:rPr>
          <w:rFonts w:ascii="Arial" w:hAnsi="Arial" w:cs="Arial"/>
          <w:spacing w:val="0"/>
          <w:sz w:val="24"/>
          <w:szCs w:val="24"/>
        </w:rPr>
        <w:t> 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 niniejszej procedurze przez osobę uprawnioną do dokonania zgłoszenia informacji mogących świadczyć o nieprawidłowości lub nieprawidłowościach;</w:t>
      </w:r>
    </w:p>
    <w:p w14:paraId="4A8391A1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Fonts w:ascii="Arial" w:hAnsi="Arial" w:cs="Arial"/>
          <w:spacing w:val="0"/>
          <w:sz w:val="24"/>
          <w:szCs w:val="24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nieprawidłowość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</w:t>
      </w:r>
      <w:r w:rsidRPr="00653C91">
        <w:rPr>
          <w:rFonts w:ascii="Arial" w:hAnsi="Arial" w:cs="Arial"/>
          <w:spacing w:val="0"/>
          <w:sz w:val="24"/>
          <w:szCs w:val="24"/>
        </w:rPr>
        <w:t>każdy stan faktyczny będący następstwem działania lub zaniechania, świadczący o możliwości wystąpienia zdarzeń naruszających lub mogących prowadzić do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naruszenia powszechnie obowiązujących przepisów prawa oraz przepisów wewnętrznych Sądu lub każde działanie/zaniechanie, które stanowi lub może stanowić działanie nielegalne lub nieetyczne;</w:t>
      </w:r>
    </w:p>
    <w:p w14:paraId="3476AF1F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Style w:val="BodytextBoldSpacing0pt"/>
          <w:rFonts w:ascii="Arial" w:hAnsi="Arial" w:cs="Arial"/>
          <w:b w:val="0"/>
          <w:sz w:val="24"/>
          <w:szCs w:val="24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rejestr nieprawidłowości/rejestr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</w:t>
      </w:r>
      <w:r w:rsidRPr="00653C91">
        <w:rPr>
          <w:rFonts w:ascii="Arial" w:hAnsi="Arial" w:cs="Arial"/>
          <w:spacing w:val="0"/>
          <w:sz w:val="24"/>
          <w:szCs w:val="24"/>
        </w:rPr>
        <w:t>rejestr prowadzony na zasadach określonych w</w:t>
      </w:r>
      <w:r>
        <w:rPr>
          <w:rFonts w:ascii="Arial" w:hAnsi="Arial" w:cs="Arial"/>
          <w:spacing w:val="0"/>
          <w:sz w:val="24"/>
          <w:szCs w:val="24"/>
        </w:rPr>
        <w:t> 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 §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10 procedury, przez Koordynatora ds. zgodności;</w:t>
      </w:r>
    </w:p>
    <w:p w14:paraId="482905BD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Fonts w:ascii="Arial" w:hAnsi="Arial" w:cs="Arial"/>
          <w:bCs/>
          <w:color w:val="000000"/>
          <w:spacing w:val="0"/>
          <w:sz w:val="24"/>
          <w:szCs w:val="24"/>
          <w:lang w:eastAsia="pl-PL" w:bidi="pl-PL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wstępna analiza zgłoszenia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</w:t>
      </w:r>
      <w:r w:rsidRPr="00653C91">
        <w:rPr>
          <w:rFonts w:ascii="Arial" w:hAnsi="Arial" w:cs="Arial"/>
          <w:spacing w:val="0"/>
          <w:sz w:val="24"/>
          <w:szCs w:val="24"/>
        </w:rPr>
        <w:t>weryfikacja treści zgłoszenia pod kątem istnienia podstaw do jego rozpoznania w toku postępowania wyjaśniającego oraz przyznania zgłaszającemu statusu sygnalisty, w ramach której Koordynator ds. zgodności ma prawo wystąpić do zgłaszającego z prośbą o uzupełnienie w wyznaczonym terminie danych zawartych w zgłoszeniu nieprawidłowości;</w:t>
      </w:r>
    </w:p>
    <w:p w14:paraId="68CDF674" w14:textId="77777777" w:rsidR="00A152F3" w:rsidRDefault="00CA634E" w:rsidP="00CA634E">
      <w:pPr>
        <w:pStyle w:val="Akapitzlist"/>
        <w:numPr>
          <w:ilvl w:val="0"/>
          <w:numId w:val="22"/>
        </w:numPr>
        <w:spacing w:before="0" w:after="60" w:line="360" w:lineRule="auto"/>
        <w:ind w:left="0" w:firstLine="0"/>
        <w:contextualSpacing w:val="0"/>
        <w:jc w:val="both"/>
        <w:rPr>
          <w:rFonts w:cs="Arial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postępowanie wyjaśniające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</w:t>
      </w:r>
      <w:r w:rsidRPr="00653C91">
        <w:rPr>
          <w:rFonts w:cs="Arial"/>
        </w:rPr>
        <w:t>postępowanie prowadzone w związku ze złożonym zgłoszeniem, w oparciu o procedurę postępowania wyjaśniającego</w:t>
      </w:r>
      <w:r>
        <w:rPr>
          <w:rFonts w:cs="Arial"/>
        </w:rPr>
        <w:t>;</w:t>
      </w:r>
    </w:p>
    <w:p w14:paraId="4074B554" w14:textId="77777777" w:rsidR="00CA634E" w:rsidRPr="00653C91" w:rsidRDefault="00CA634E" w:rsidP="00CA634E">
      <w:pPr>
        <w:pStyle w:val="Tekstpodstawowy2"/>
        <w:numPr>
          <w:ilvl w:val="0"/>
          <w:numId w:val="22"/>
        </w:numPr>
        <w:spacing w:before="0" w:after="60" w:line="360" w:lineRule="auto"/>
        <w:ind w:left="0" w:firstLine="0"/>
        <w:jc w:val="both"/>
        <w:rPr>
          <w:rStyle w:val="BodytextBoldSpacing0pt"/>
          <w:rFonts w:ascii="Arial" w:hAnsi="Arial" w:cs="Arial"/>
          <w:b w:val="0"/>
          <w:sz w:val="24"/>
          <w:szCs w:val="24"/>
        </w:rPr>
      </w:pPr>
      <w:r w:rsidRPr="00A152F3">
        <w:rPr>
          <w:rStyle w:val="BodytextBoldSpacing0pt"/>
          <w:rFonts w:ascii="Arial" w:hAnsi="Arial" w:cs="Arial"/>
          <w:sz w:val="24"/>
          <w:szCs w:val="24"/>
        </w:rPr>
        <w:t>działania następcze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- </w:t>
      </w:r>
      <w:r w:rsidRPr="00653C91">
        <w:rPr>
          <w:rFonts w:ascii="Arial" w:hAnsi="Arial" w:cs="Arial"/>
          <w:spacing w:val="0"/>
          <w:sz w:val="24"/>
          <w:szCs w:val="24"/>
        </w:rPr>
        <w:t>wstępna analiza zgłoszenia</w:t>
      </w:r>
      <w:r w:rsidRPr="00653C91">
        <w:rPr>
          <w:rStyle w:val="BodytextBoldSpacing0pt"/>
          <w:rFonts w:ascii="Arial" w:hAnsi="Arial" w:cs="Arial"/>
          <w:b w:val="0"/>
          <w:sz w:val="24"/>
          <w:szCs w:val="24"/>
        </w:rPr>
        <w:t xml:space="preserve"> oraz postępowanie wyjaśniające.</w:t>
      </w:r>
    </w:p>
    <w:p w14:paraId="585D34A6" w14:textId="77777777" w:rsidR="00CA634E" w:rsidRPr="00653C91" w:rsidRDefault="00CA634E" w:rsidP="00CA634E">
      <w:pPr>
        <w:pStyle w:val="Akapitzlist"/>
        <w:spacing w:before="0" w:after="60" w:line="360" w:lineRule="auto"/>
        <w:ind w:left="0"/>
        <w:contextualSpacing w:val="0"/>
        <w:jc w:val="both"/>
        <w:rPr>
          <w:rFonts w:cs="Arial"/>
        </w:rPr>
      </w:pPr>
    </w:p>
    <w:p w14:paraId="0AB9BC0B" w14:textId="77777777" w:rsidR="007662C9" w:rsidRPr="00653C91" w:rsidRDefault="009A1C65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§</w:t>
      </w:r>
      <w:r w:rsidR="007662C9" w:rsidRPr="00653C91">
        <w:rPr>
          <w:rFonts w:cs="Arial"/>
          <w:b/>
          <w:szCs w:val="24"/>
        </w:rPr>
        <w:t xml:space="preserve"> </w:t>
      </w:r>
      <w:r w:rsidRPr="00653C91">
        <w:rPr>
          <w:rFonts w:cs="Arial"/>
          <w:b/>
          <w:szCs w:val="24"/>
        </w:rPr>
        <w:t>2</w:t>
      </w:r>
      <w:bookmarkStart w:id="1" w:name="bookmark1"/>
    </w:p>
    <w:p w14:paraId="126FAF84" w14:textId="77777777" w:rsidR="007662C9" w:rsidRPr="00653C91" w:rsidRDefault="007662C9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POSTANOWIENIA OGÓLNE</w:t>
      </w:r>
      <w:bookmarkEnd w:id="1"/>
    </w:p>
    <w:p w14:paraId="61AD134C" w14:textId="77777777" w:rsidR="00C650D6" w:rsidRPr="00653C91" w:rsidRDefault="00C650D6" w:rsidP="00653C91">
      <w:pPr>
        <w:pStyle w:val="Akapitzlist"/>
        <w:numPr>
          <w:ilvl w:val="0"/>
          <w:numId w:val="8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>Funkcjonowanie Sądu uwzględnia interesy społeczne, ochronę środowiska, relacje z</w:t>
      </w:r>
      <w:r w:rsidR="003E51A3">
        <w:rPr>
          <w:rFonts w:cs="Arial"/>
        </w:rPr>
        <w:t> </w:t>
      </w:r>
      <w:r w:rsidRPr="00653C91">
        <w:rPr>
          <w:rFonts w:cs="Arial"/>
        </w:rPr>
        <w:t>różnymi grupami społecznymi i biznesowymi, ze szczególnym uwzględnieniem zapobiegania korupcji oraz powstawanie innych nieprawidłowości zarówno wewnątrz Sądu, jak i wśród partnerów biznesowych.</w:t>
      </w:r>
    </w:p>
    <w:p w14:paraId="47CA3B3A" w14:textId="77777777" w:rsidR="009A1C65" w:rsidRPr="00653C91" w:rsidRDefault="009A1C65" w:rsidP="00653C91">
      <w:pPr>
        <w:pStyle w:val="Tekstpodstawowy2"/>
        <w:numPr>
          <w:ilvl w:val="0"/>
          <w:numId w:val="8"/>
        </w:numPr>
        <w:tabs>
          <w:tab w:val="left" w:pos="284"/>
        </w:tabs>
        <w:spacing w:before="0" w:after="60" w:line="360" w:lineRule="auto"/>
        <w:ind w:left="284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Niniejsza procedura służy do zgłaszania nieprawidłowości. Pozostałe kwestie dotyczące bieżących problemów związanych z wykonywaną pracą należy rozwiązywać w oparciu o</w:t>
      </w:r>
      <w:r w:rsidR="00673163" w:rsidRPr="00653C91">
        <w:rPr>
          <w:rFonts w:ascii="Arial" w:hAnsi="Arial" w:cs="Arial"/>
          <w:spacing w:val="0"/>
          <w:sz w:val="24"/>
          <w:szCs w:val="24"/>
        </w:rPr>
        <w:t> </w:t>
      </w:r>
      <w:r w:rsidRPr="00653C91">
        <w:rPr>
          <w:rFonts w:ascii="Arial" w:hAnsi="Arial" w:cs="Arial"/>
          <w:spacing w:val="0"/>
          <w:sz w:val="24"/>
          <w:szCs w:val="24"/>
        </w:rPr>
        <w:t>istniejące relacje służbowe bądź inne - ustanowione na</w:t>
      </w:r>
      <w:r w:rsidR="00171526" w:rsidRPr="00653C9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podstawie odrębnych regulacji wewnętrznych - dostępne kanały, które powinny być wykorzystane do tych celów.</w:t>
      </w:r>
    </w:p>
    <w:p w14:paraId="344EFA23" w14:textId="77777777" w:rsidR="009A1C65" w:rsidRPr="00653C91" w:rsidRDefault="009A1C65" w:rsidP="00653C91">
      <w:pPr>
        <w:pStyle w:val="Tekstpodstawowy2"/>
        <w:numPr>
          <w:ilvl w:val="0"/>
          <w:numId w:val="8"/>
        </w:numPr>
        <w:tabs>
          <w:tab w:val="left" w:pos="284"/>
        </w:tabs>
        <w:spacing w:before="0" w:after="60" w:line="360" w:lineRule="auto"/>
        <w:ind w:left="284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Niniejsza procedura ustanawia w Sądzie zasady podejmowania czynności przez Koordynatora ds. zgodności, komisję wyjaśniającą oraz Kierownictwo Sądu</w:t>
      </w:r>
      <w:r w:rsidR="009048E9" w:rsidRPr="00653C91">
        <w:rPr>
          <w:rFonts w:ascii="Arial" w:hAnsi="Arial" w:cs="Arial"/>
          <w:spacing w:val="0"/>
          <w:sz w:val="24"/>
          <w:szCs w:val="24"/>
        </w:rPr>
        <w:t>,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 w</w:t>
      </w:r>
      <w:r w:rsidR="00171526" w:rsidRPr="00653C9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ramach </w:t>
      </w:r>
      <w:r w:rsidRPr="00653C91">
        <w:rPr>
          <w:rFonts w:ascii="Arial" w:hAnsi="Arial" w:cs="Arial"/>
          <w:spacing w:val="0"/>
          <w:sz w:val="24"/>
          <w:szCs w:val="24"/>
        </w:rPr>
        <w:lastRenderedPageBreak/>
        <w:t>przysługujących uprawnień, mające na</w:t>
      </w:r>
      <w:r w:rsidR="00171526" w:rsidRPr="00653C9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celu wyjaśnienie zgłaszanych przez osoby uprawnione do dokonania zgłoszenia informacji mogących świadczyć o</w:t>
      </w:r>
      <w:r w:rsidR="00063D31">
        <w:rPr>
          <w:rFonts w:ascii="Arial" w:hAnsi="Arial" w:cs="Arial"/>
          <w:spacing w:val="0"/>
          <w:sz w:val="24"/>
          <w:szCs w:val="24"/>
        </w:rPr>
        <w:t> </w:t>
      </w:r>
      <w:r w:rsidRPr="00653C91">
        <w:rPr>
          <w:rFonts w:ascii="Arial" w:hAnsi="Arial" w:cs="Arial"/>
          <w:spacing w:val="0"/>
          <w:sz w:val="24"/>
          <w:szCs w:val="24"/>
        </w:rPr>
        <w:t>nieprawidłowościach oraz wyciągnięcie konsekwencji wobec sprawcy nieprawidłowości i podjęcie działań naprawczych.</w:t>
      </w:r>
    </w:p>
    <w:p w14:paraId="54DED0ED" w14:textId="77777777" w:rsidR="009A1C65" w:rsidRPr="00653C91" w:rsidRDefault="009A1C65" w:rsidP="00653C91">
      <w:pPr>
        <w:pStyle w:val="Tekstpodstawowy2"/>
        <w:numPr>
          <w:ilvl w:val="0"/>
          <w:numId w:val="8"/>
        </w:numPr>
        <w:tabs>
          <w:tab w:val="left" w:pos="284"/>
        </w:tabs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Celem procedury jest ukształtowanie efektywnego i jednolitego systemu informowania o</w:t>
      </w:r>
      <w:r w:rsidR="00673163" w:rsidRPr="00653C91">
        <w:rPr>
          <w:rFonts w:ascii="Arial" w:hAnsi="Arial" w:cs="Arial"/>
          <w:spacing w:val="0"/>
          <w:sz w:val="24"/>
          <w:szCs w:val="24"/>
        </w:rPr>
        <w:t> </w:t>
      </w:r>
      <w:r w:rsidRPr="00653C91">
        <w:rPr>
          <w:rFonts w:ascii="Arial" w:hAnsi="Arial" w:cs="Arial"/>
          <w:spacing w:val="0"/>
          <w:sz w:val="24"/>
          <w:szCs w:val="24"/>
        </w:rPr>
        <w:t>nieprawidłowościach w Sądzie, poprzez stworzenie bezpiecznych kanałów zgłoszeniowych, zapobiegających podejmowaniu jakichkolwiek działań odwetowych wobec sygnalisty.</w:t>
      </w:r>
    </w:p>
    <w:p w14:paraId="0302077E" w14:textId="77777777" w:rsidR="009A1C65" w:rsidRPr="00653C91" w:rsidRDefault="009A1C65" w:rsidP="00653C91">
      <w:pPr>
        <w:pStyle w:val="Tekstpodstawowy2"/>
        <w:numPr>
          <w:ilvl w:val="0"/>
          <w:numId w:val="8"/>
        </w:numPr>
        <w:tabs>
          <w:tab w:val="left" w:pos="284"/>
        </w:tabs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Niniejsza procedura określa w szczególności:</w:t>
      </w:r>
    </w:p>
    <w:p w14:paraId="7FE615C1" w14:textId="77777777" w:rsidR="009A1C65" w:rsidRPr="00653C91" w:rsidRDefault="009A1C65" w:rsidP="00653C91">
      <w:pPr>
        <w:pStyle w:val="Tekstpodstawowy2"/>
        <w:numPr>
          <w:ilvl w:val="0"/>
          <w:numId w:val="3"/>
        </w:numPr>
        <w:tabs>
          <w:tab w:val="clear" w:pos="852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zakres nieprawidłowości objętych procedurą,</w:t>
      </w:r>
    </w:p>
    <w:p w14:paraId="38DD9B08" w14:textId="77777777" w:rsidR="009A1C65" w:rsidRPr="00653C91" w:rsidRDefault="009A1C65" w:rsidP="00653C91">
      <w:pPr>
        <w:pStyle w:val="Tekstpodstawowy2"/>
        <w:numPr>
          <w:ilvl w:val="0"/>
          <w:numId w:val="3"/>
        </w:numPr>
        <w:tabs>
          <w:tab w:val="clear" w:pos="852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zakres osób uprawnionych do dokonania zgłoszenia,</w:t>
      </w:r>
    </w:p>
    <w:p w14:paraId="28914D83" w14:textId="77777777" w:rsidR="009A1C65" w:rsidRPr="00653C91" w:rsidRDefault="009A1C65" w:rsidP="00653C91">
      <w:pPr>
        <w:pStyle w:val="Tekstpodstawowy2"/>
        <w:numPr>
          <w:ilvl w:val="0"/>
          <w:numId w:val="3"/>
        </w:numPr>
        <w:tabs>
          <w:tab w:val="clear" w:pos="852"/>
        </w:tabs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zasady zgłaszania nieprawidłowości przez osoby uprawnione do dokonania zgłoszenia,</w:t>
      </w:r>
    </w:p>
    <w:p w14:paraId="695758A1" w14:textId="77777777" w:rsidR="009A1C65" w:rsidRPr="00653C91" w:rsidRDefault="009A1C65" w:rsidP="00653C91">
      <w:pPr>
        <w:pStyle w:val="Tekstpodstawowy2"/>
        <w:numPr>
          <w:ilvl w:val="0"/>
          <w:numId w:val="3"/>
        </w:numPr>
        <w:tabs>
          <w:tab w:val="clear" w:pos="852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odpowiedzialność w procesie zarządzania nieprawidłowościami,</w:t>
      </w:r>
    </w:p>
    <w:p w14:paraId="56F0019D" w14:textId="77777777" w:rsidR="009A1C65" w:rsidRPr="00653C91" w:rsidRDefault="009A1C65" w:rsidP="00653C91">
      <w:pPr>
        <w:pStyle w:val="Tekstpodstawowy2"/>
        <w:numPr>
          <w:ilvl w:val="0"/>
          <w:numId w:val="3"/>
        </w:numPr>
        <w:tabs>
          <w:tab w:val="clear" w:pos="852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proces rozpatrywania oraz zarządzania nieprawidłowościami,</w:t>
      </w:r>
    </w:p>
    <w:p w14:paraId="507AB7CE" w14:textId="77777777" w:rsidR="009A1C65" w:rsidRPr="00653C91" w:rsidRDefault="009A1C65" w:rsidP="00653C91">
      <w:pPr>
        <w:pStyle w:val="Tekstpodstawowy2"/>
        <w:numPr>
          <w:ilvl w:val="0"/>
          <w:numId w:val="3"/>
        </w:numPr>
        <w:tabs>
          <w:tab w:val="clear" w:pos="852"/>
        </w:tabs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zasady zachowania poufności, w szczególności zasady zachowania w tajemnicy dokonanych zgłoszeń nieprawidłowości przez sygnalistów oraz tożsamości osób dokonujących zgłoszeń.</w:t>
      </w:r>
      <w:r w:rsidR="00B546E7" w:rsidRPr="00653C91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0EEA3687" w14:textId="77777777" w:rsidR="00B546E7" w:rsidRPr="00653C91" w:rsidRDefault="00B546E7" w:rsidP="00653C91">
      <w:pPr>
        <w:pStyle w:val="Tekstpodstawowy2"/>
        <w:tabs>
          <w:tab w:val="left" w:pos="709"/>
        </w:tabs>
        <w:spacing w:before="0" w:after="60" w:line="360" w:lineRule="auto"/>
        <w:ind w:left="709" w:right="20" w:firstLine="0"/>
        <w:jc w:val="left"/>
        <w:rPr>
          <w:rFonts w:ascii="Arial" w:hAnsi="Arial" w:cs="Arial"/>
          <w:spacing w:val="0"/>
          <w:sz w:val="24"/>
          <w:szCs w:val="24"/>
        </w:rPr>
      </w:pPr>
    </w:p>
    <w:p w14:paraId="4A3A809B" w14:textId="77777777" w:rsidR="009A1C65" w:rsidRPr="00653C91" w:rsidRDefault="009A1C65" w:rsidP="00653C91">
      <w:pPr>
        <w:pStyle w:val="Tekstpodstawowy2"/>
        <w:spacing w:before="0" w:after="60" w:line="360" w:lineRule="auto"/>
        <w:ind w:right="80" w:firstLine="0"/>
        <w:rPr>
          <w:rFonts w:ascii="Arial" w:hAnsi="Arial" w:cs="Arial"/>
          <w:b/>
          <w:spacing w:val="0"/>
          <w:sz w:val="24"/>
          <w:szCs w:val="24"/>
        </w:rPr>
      </w:pPr>
      <w:r w:rsidRPr="00653C91">
        <w:rPr>
          <w:rFonts w:ascii="Arial" w:hAnsi="Arial" w:cs="Arial"/>
          <w:b/>
          <w:spacing w:val="0"/>
          <w:sz w:val="24"/>
          <w:szCs w:val="24"/>
        </w:rPr>
        <w:t>§</w:t>
      </w:r>
      <w:r w:rsidR="00B546E7" w:rsidRPr="00653C91"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b/>
          <w:spacing w:val="0"/>
          <w:sz w:val="24"/>
          <w:szCs w:val="24"/>
        </w:rPr>
        <w:t>3</w:t>
      </w:r>
    </w:p>
    <w:p w14:paraId="4164908D" w14:textId="77777777" w:rsidR="00B546E7" w:rsidRPr="00653C91" w:rsidRDefault="00B546E7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ZAKRES PROCEDURY</w:t>
      </w:r>
    </w:p>
    <w:p w14:paraId="4A0A4DAF" w14:textId="77777777" w:rsidR="009A1C65" w:rsidRPr="00653C91" w:rsidRDefault="009A1C65" w:rsidP="00653C91">
      <w:pPr>
        <w:pStyle w:val="Tekstpodstawowy2"/>
        <w:numPr>
          <w:ilvl w:val="0"/>
          <w:numId w:val="4"/>
        </w:numPr>
        <w:tabs>
          <w:tab w:val="clear" w:pos="0"/>
        </w:tabs>
        <w:spacing w:before="0" w:after="60" w:line="360" w:lineRule="auto"/>
        <w:ind w:left="284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Postanowienia niniejszej</w:t>
      </w:r>
      <w:r w:rsidR="009048E9" w:rsidRPr="00653C91">
        <w:rPr>
          <w:rFonts w:ascii="Arial" w:hAnsi="Arial" w:cs="Arial"/>
          <w:spacing w:val="0"/>
          <w:sz w:val="24"/>
          <w:szCs w:val="24"/>
        </w:rPr>
        <w:t xml:space="preserve"> p</w:t>
      </w:r>
      <w:r w:rsidRPr="00653C91">
        <w:rPr>
          <w:rFonts w:ascii="Arial" w:hAnsi="Arial" w:cs="Arial"/>
          <w:spacing w:val="0"/>
          <w:sz w:val="24"/>
          <w:szCs w:val="24"/>
        </w:rPr>
        <w:t>rocedury mają zastosowanie do następujących grup osób uprawnionych do dokonania zgłoszenia:</w:t>
      </w:r>
    </w:p>
    <w:p w14:paraId="085311F6" w14:textId="77777777" w:rsidR="009A1C65" w:rsidRPr="00653C91" w:rsidRDefault="009048E9" w:rsidP="00653C91">
      <w:pPr>
        <w:pStyle w:val="Tekstpodstawowy2"/>
        <w:numPr>
          <w:ilvl w:val="0"/>
          <w:numId w:val="9"/>
        </w:numPr>
        <w:tabs>
          <w:tab w:val="clear" w:pos="0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obecni i byli pracownicy Sądu,</w:t>
      </w:r>
    </w:p>
    <w:p w14:paraId="75E4C69B" w14:textId="77777777" w:rsidR="009A1C65" w:rsidRPr="00653C91" w:rsidRDefault="009A1C65" w:rsidP="00653C91">
      <w:pPr>
        <w:pStyle w:val="Tekstpodstawowy2"/>
        <w:numPr>
          <w:ilvl w:val="0"/>
          <w:numId w:val="9"/>
        </w:numPr>
        <w:tabs>
          <w:tab w:val="clear" w:pos="0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kandydaci do zatrudnienia w Sądzie, jeśli informacje dotyczą</w:t>
      </w:r>
      <w:r w:rsidR="00673163" w:rsidRPr="00653C91">
        <w:rPr>
          <w:rFonts w:ascii="Arial" w:hAnsi="Arial" w:cs="Arial"/>
          <w:spacing w:val="0"/>
          <w:sz w:val="24"/>
          <w:szCs w:val="24"/>
        </w:rPr>
        <w:t>ce nieprawidłowości pozyskali w </w:t>
      </w:r>
      <w:r w:rsidRPr="00653C91">
        <w:rPr>
          <w:rFonts w:ascii="Arial" w:hAnsi="Arial" w:cs="Arial"/>
          <w:spacing w:val="0"/>
          <w:sz w:val="24"/>
          <w:szCs w:val="24"/>
        </w:rPr>
        <w:t>trakcie procesu rekrutacji lub innych procesów poprzedzających n</w:t>
      </w:r>
      <w:r w:rsidR="009048E9" w:rsidRPr="00653C91">
        <w:rPr>
          <w:rFonts w:ascii="Arial" w:hAnsi="Arial" w:cs="Arial"/>
          <w:spacing w:val="0"/>
          <w:sz w:val="24"/>
          <w:szCs w:val="24"/>
        </w:rPr>
        <w:t xml:space="preserve">awiązanie stosunku </w:t>
      </w:r>
      <w:r w:rsidR="005B577E" w:rsidRPr="00653C91">
        <w:rPr>
          <w:rFonts w:ascii="Arial" w:hAnsi="Arial" w:cs="Arial"/>
          <w:spacing w:val="0"/>
          <w:sz w:val="24"/>
          <w:szCs w:val="24"/>
        </w:rPr>
        <w:t>pracy</w:t>
      </w:r>
      <w:r w:rsidR="009048E9" w:rsidRPr="00653C91">
        <w:rPr>
          <w:rFonts w:ascii="Arial" w:hAnsi="Arial" w:cs="Arial"/>
          <w:spacing w:val="0"/>
          <w:sz w:val="24"/>
          <w:szCs w:val="24"/>
        </w:rPr>
        <w:t>,</w:t>
      </w:r>
    </w:p>
    <w:p w14:paraId="64A42A02" w14:textId="77777777" w:rsidR="009A1C65" w:rsidRPr="00653C91" w:rsidRDefault="009A1C65" w:rsidP="00653C91">
      <w:pPr>
        <w:pStyle w:val="Tekstpodstawowy2"/>
        <w:numPr>
          <w:ilvl w:val="0"/>
          <w:numId w:val="9"/>
        </w:numPr>
        <w:tabs>
          <w:tab w:val="clear" w:pos="0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osoby świadczące pracę na rzecz Sądu na innej podstawie niż stosunek pracy;</w:t>
      </w:r>
    </w:p>
    <w:p w14:paraId="08EC78C1" w14:textId="77777777" w:rsidR="009A1C65" w:rsidRPr="00653C91" w:rsidRDefault="009A1C65" w:rsidP="00653C91">
      <w:pPr>
        <w:pStyle w:val="Tekstpodstawowy2"/>
        <w:numPr>
          <w:ilvl w:val="0"/>
          <w:numId w:val="9"/>
        </w:numPr>
        <w:tabs>
          <w:tab w:val="clear" w:pos="0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wolontariusze, praktykanci, stażyści</w:t>
      </w:r>
      <w:r w:rsidR="009048E9" w:rsidRPr="00653C91">
        <w:rPr>
          <w:rFonts w:ascii="Arial" w:hAnsi="Arial" w:cs="Arial"/>
          <w:spacing w:val="0"/>
          <w:sz w:val="24"/>
          <w:szCs w:val="24"/>
        </w:rPr>
        <w:t>,</w:t>
      </w:r>
    </w:p>
    <w:p w14:paraId="72E13869" w14:textId="77777777" w:rsidR="009A1C65" w:rsidRPr="00653C91" w:rsidRDefault="009A1C65" w:rsidP="00653C91">
      <w:pPr>
        <w:pStyle w:val="Tekstpodstawowy2"/>
        <w:numPr>
          <w:ilvl w:val="0"/>
          <w:numId w:val="9"/>
        </w:numPr>
        <w:tabs>
          <w:tab w:val="clear" w:pos="0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osoby pracujące pod nadzorem i kierownictwem wykonawcy, podwykonawcy i</w:t>
      </w:r>
      <w:r w:rsidR="00B47467">
        <w:rPr>
          <w:rFonts w:ascii="Arial" w:hAnsi="Arial" w:cs="Arial"/>
          <w:spacing w:val="0"/>
          <w:sz w:val="24"/>
          <w:szCs w:val="24"/>
        </w:rPr>
        <w:t> </w:t>
      </w:r>
      <w:r w:rsidR="00171526" w:rsidRPr="00653C9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dostawcy Sądu</w:t>
      </w:r>
      <w:r w:rsidR="009048E9" w:rsidRPr="00653C91">
        <w:rPr>
          <w:rFonts w:ascii="Arial" w:hAnsi="Arial" w:cs="Arial"/>
          <w:spacing w:val="0"/>
          <w:sz w:val="24"/>
          <w:szCs w:val="24"/>
        </w:rPr>
        <w:t>,</w:t>
      </w:r>
    </w:p>
    <w:p w14:paraId="453E0C1B" w14:textId="77777777" w:rsidR="009A1C65" w:rsidRPr="00653C91" w:rsidRDefault="009A1C65" w:rsidP="00653C91">
      <w:pPr>
        <w:pStyle w:val="Tekstpodstawowy2"/>
        <w:numPr>
          <w:ilvl w:val="0"/>
          <w:numId w:val="9"/>
        </w:numPr>
        <w:tabs>
          <w:tab w:val="clear" w:pos="0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inne osoby w jakikolwiek sposób pomagające w dokonaniu zgłoszenia nieprawidłowości.</w:t>
      </w:r>
    </w:p>
    <w:p w14:paraId="78633A4D" w14:textId="77777777" w:rsidR="009A1C65" w:rsidRPr="00653C91" w:rsidRDefault="009A1C65" w:rsidP="00653C91">
      <w:pPr>
        <w:pStyle w:val="Akapitzlist"/>
        <w:numPr>
          <w:ilvl w:val="0"/>
          <w:numId w:val="4"/>
        </w:numPr>
        <w:tabs>
          <w:tab w:val="clear" w:pos="0"/>
        </w:tabs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lastRenderedPageBreak/>
        <w:t>Przez nieprawidłowości należy w szczególności rozumieć posi</w:t>
      </w:r>
      <w:r w:rsidR="00673163" w:rsidRPr="00653C91">
        <w:rPr>
          <w:rFonts w:cs="Arial"/>
        </w:rPr>
        <w:t>adane przez osoby uprawnione do </w:t>
      </w:r>
      <w:r w:rsidRPr="00653C91">
        <w:rPr>
          <w:rFonts w:cs="Arial"/>
        </w:rPr>
        <w:t>dokonania zgłoszenia informacje, mogące świadczyć o:</w:t>
      </w:r>
    </w:p>
    <w:p w14:paraId="11C09BA7" w14:textId="77777777" w:rsidR="009A1C65" w:rsidRPr="00653C91" w:rsidRDefault="009A1C65" w:rsidP="00653C91">
      <w:pPr>
        <w:pStyle w:val="Tekstpodstawowy2"/>
        <w:numPr>
          <w:ilvl w:val="0"/>
          <w:numId w:val="6"/>
        </w:numPr>
        <w:tabs>
          <w:tab w:val="clear" w:pos="0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podejrzeniu przygotowania, usiłowania lub</w:t>
      </w:r>
      <w:r w:rsidR="009048E9" w:rsidRPr="00653C91">
        <w:rPr>
          <w:rFonts w:ascii="Arial" w:hAnsi="Arial" w:cs="Arial"/>
          <w:spacing w:val="0"/>
          <w:sz w:val="24"/>
          <w:szCs w:val="24"/>
        </w:rPr>
        <w:t xml:space="preserve"> popełnienia czynu zabronionego,</w:t>
      </w:r>
    </w:p>
    <w:p w14:paraId="25201CED" w14:textId="77777777" w:rsidR="009A1C65" w:rsidRPr="00653C91" w:rsidRDefault="009A1C65" w:rsidP="00653C91">
      <w:pPr>
        <w:pStyle w:val="Tekstpodstawowy2"/>
        <w:numPr>
          <w:ilvl w:val="0"/>
          <w:numId w:val="6"/>
        </w:numPr>
        <w:tabs>
          <w:tab w:val="clear" w:pos="0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niedopełnieniu obowiązków lub nadużyciu uprawnień,</w:t>
      </w:r>
    </w:p>
    <w:p w14:paraId="5C027FF8" w14:textId="77777777" w:rsidR="009A1C65" w:rsidRPr="00653C91" w:rsidRDefault="009A1C65" w:rsidP="00653C91">
      <w:pPr>
        <w:pStyle w:val="Tekstpodstawowy2"/>
        <w:numPr>
          <w:ilvl w:val="0"/>
          <w:numId w:val="6"/>
        </w:numPr>
        <w:tabs>
          <w:tab w:val="clear" w:pos="0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niezachowaniu należytej staranności wymaganej w danych okolicznościach,</w:t>
      </w:r>
      <w:r w:rsidR="00B546E7" w:rsidRPr="00653C91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66F43F0F" w14:textId="77777777" w:rsidR="00B546E7" w:rsidRDefault="009A1C65" w:rsidP="00653C91">
      <w:pPr>
        <w:pStyle w:val="Tekstpodstawowy2"/>
        <w:numPr>
          <w:ilvl w:val="0"/>
          <w:numId w:val="6"/>
        </w:numPr>
        <w:tabs>
          <w:tab w:val="clear" w:pos="0"/>
        </w:tabs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naruszeniu wewnętrznych procedur, w tym procedur </w:t>
      </w:r>
      <w:proofErr w:type="spellStart"/>
      <w:r w:rsidRPr="00653C91">
        <w:rPr>
          <w:rFonts w:ascii="Arial" w:hAnsi="Arial" w:cs="Arial"/>
          <w:spacing w:val="0"/>
          <w:sz w:val="24"/>
          <w:szCs w:val="24"/>
        </w:rPr>
        <w:t>antymobbingowych</w:t>
      </w:r>
      <w:proofErr w:type="spellEnd"/>
      <w:r w:rsidRPr="00653C91">
        <w:rPr>
          <w:rFonts w:ascii="Arial" w:hAnsi="Arial" w:cs="Arial"/>
          <w:spacing w:val="0"/>
          <w:sz w:val="24"/>
          <w:szCs w:val="24"/>
        </w:rPr>
        <w:t xml:space="preserve"> oraz standardów etycznych przyjętych Sądzie.</w:t>
      </w:r>
    </w:p>
    <w:p w14:paraId="432406DA" w14:textId="77777777" w:rsidR="000B54BB" w:rsidRPr="00653C91" w:rsidRDefault="000B54BB" w:rsidP="000B54BB">
      <w:pPr>
        <w:pStyle w:val="Tekstpodstawowy2"/>
        <w:spacing w:before="0" w:after="60" w:line="360" w:lineRule="auto"/>
        <w:ind w:left="567" w:firstLine="0"/>
        <w:jc w:val="both"/>
        <w:rPr>
          <w:rFonts w:ascii="Arial" w:hAnsi="Arial" w:cs="Arial"/>
          <w:spacing w:val="0"/>
          <w:sz w:val="24"/>
          <w:szCs w:val="24"/>
        </w:rPr>
      </w:pPr>
    </w:p>
    <w:p w14:paraId="5827C252" w14:textId="77777777" w:rsidR="009A1C65" w:rsidRPr="00653C91" w:rsidRDefault="009A1C65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§</w:t>
      </w:r>
      <w:r w:rsidR="00B546E7" w:rsidRPr="00653C91">
        <w:rPr>
          <w:rFonts w:cs="Arial"/>
          <w:b/>
          <w:szCs w:val="24"/>
        </w:rPr>
        <w:t xml:space="preserve"> </w:t>
      </w:r>
      <w:r w:rsidRPr="00653C91">
        <w:rPr>
          <w:rFonts w:cs="Arial"/>
          <w:b/>
          <w:szCs w:val="24"/>
        </w:rPr>
        <w:t>4</w:t>
      </w:r>
    </w:p>
    <w:p w14:paraId="08569790" w14:textId="77777777" w:rsidR="00B546E7" w:rsidRPr="00653C91" w:rsidRDefault="00B546E7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OSOBY ODPOWIEDZIALNE ZA ZARZĄDZANIE ZGŁOSZENIAMI</w:t>
      </w:r>
    </w:p>
    <w:p w14:paraId="7D0125A2" w14:textId="77777777" w:rsidR="00D24790" w:rsidRPr="00653C91" w:rsidRDefault="00D24790" w:rsidP="00653C91">
      <w:pPr>
        <w:pStyle w:val="Akapitzlist"/>
        <w:numPr>
          <w:ilvl w:val="0"/>
          <w:numId w:val="10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>Osobą odpowiedzialną za przyjmowanie i rozpatrywanie zgłoszeń nieprawidłowości w</w:t>
      </w:r>
      <w:r w:rsidR="00B47467">
        <w:rPr>
          <w:rFonts w:cs="Arial"/>
        </w:rPr>
        <w:t> </w:t>
      </w:r>
      <w:r w:rsidRPr="00653C91">
        <w:rPr>
          <w:rFonts w:cs="Arial"/>
        </w:rPr>
        <w:t xml:space="preserve"> Sądzie jest Koordynator ds. zgodności.</w:t>
      </w:r>
    </w:p>
    <w:p w14:paraId="300DAC24" w14:textId="77777777" w:rsidR="009A1C65" w:rsidRPr="00653C91" w:rsidRDefault="009A1C65" w:rsidP="00653C91">
      <w:pPr>
        <w:pStyle w:val="Akapitzlist"/>
        <w:numPr>
          <w:ilvl w:val="0"/>
          <w:numId w:val="10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>Osoby, co do których z treści zgłoszenia nieprawidłowości wynika, że mogą być w</w:t>
      </w:r>
      <w:r w:rsidR="00B47467">
        <w:rPr>
          <w:rFonts w:cs="Arial"/>
        </w:rPr>
        <w:t> </w:t>
      </w:r>
      <w:r w:rsidRPr="00653C91">
        <w:rPr>
          <w:rFonts w:cs="Arial"/>
        </w:rPr>
        <w:t xml:space="preserve">jakikolwiek sposób negatywnie zaangażowane w działanie lub zaniechanie </w:t>
      </w:r>
      <w:r w:rsidR="00673163" w:rsidRPr="00653C91">
        <w:rPr>
          <w:rFonts w:cs="Arial"/>
        </w:rPr>
        <w:t>stanowiące nieprawidłowość, nie</w:t>
      </w:r>
      <w:r w:rsidR="00B47467">
        <w:rPr>
          <w:rFonts w:cs="Arial"/>
        </w:rPr>
        <w:t xml:space="preserve"> </w:t>
      </w:r>
      <w:r w:rsidRPr="00653C91">
        <w:rPr>
          <w:rFonts w:cs="Arial"/>
        </w:rPr>
        <w:t>mogą być angażowane w analizę takiego zgłoszenia.</w:t>
      </w:r>
    </w:p>
    <w:p w14:paraId="1791B753" w14:textId="77777777" w:rsidR="009A1C65" w:rsidRPr="00653C91" w:rsidRDefault="009A1C65" w:rsidP="00653C91">
      <w:pPr>
        <w:pStyle w:val="Akapitzlist"/>
        <w:numPr>
          <w:ilvl w:val="0"/>
          <w:numId w:val="10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 xml:space="preserve">Koordynator ds. zgodności przedstawia Kierownictwu Sądu propozycję składu komisji wyjaśniającej uwzględniając okoliczności </w:t>
      </w:r>
      <w:r w:rsidR="00890CF5" w:rsidRPr="00653C91">
        <w:rPr>
          <w:rFonts w:cs="Arial"/>
        </w:rPr>
        <w:t xml:space="preserve">§ 3 </w:t>
      </w:r>
      <w:r w:rsidRPr="00653C91">
        <w:rPr>
          <w:rFonts w:cs="Arial"/>
        </w:rPr>
        <w:t>ust. 2.</w:t>
      </w:r>
    </w:p>
    <w:p w14:paraId="4C32A140" w14:textId="77777777" w:rsidR="009A1C65" w:rsidRPr="00653C91" w:rsidRDefault="009A1C65" w:rsidP="00653C91">
      <w:pPr>
        <w:pStyle w:val="Akapitzlist"/>
        <w:numPr>
          <w:ilvl w:val="0"/>
          <w:numId w:val="10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 xml:space="preserve">Przewodniczącym komisji wyjaśniającej jest Koordynator ds. zgodności, a pozostali członkowie (nie mniej niż </w:t>
      </w:r>
      <w:r w:rsidR="006A512D">
        <w:rPr>
          <w:rFonts w:cs="Arial"/>
        </w:rPr>
        <w:t>3</w:t>
      </w:r>
      <w:r w:rsidRPr="00653C91">
        <w:rPr>
          <w:rFonts w:cs="Arial"/>
        </w:rPr>
        <w:t xml:space="preserve"> osoby), działają na podstawie zatwierdzenia przez Kierownictwo Sądu.</w:t>
      </w:r>
    </w:p>
    <w:p w14:paraId="4D60F3A2" w14:textId="77777777" w:rsidR="009A1C65" w:rsidRPr="00653C91" w:rsidRDefault="009A1C65" w:rsidP="00653C91">
      <w:pPr>
        <w:pStyle w:val="Akapitzlist"/>
        <w:numPr>
          <w:ilvl w:val="0"/>
          <w:numId w:val="10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>Koordynator ds. zgodności informuje każdorazowo o wpłynięci</w:t>
      </w:r>
      <w:r w:rsidR="00890CF5" w:rsidRPr="00653C91">
        <w:rPr>
          <w:rFonts w:cs="Arial"/>
        </w:rPr>
        <w:t>u zgłoszenia nieprawidłowości i </w:t>
      </w:r>
      <w:r w:rsidRPr="00653C91">
        <w:rPr>
          <w:rFonts w:cs="Arial"/>
        </w:rPr>
        <w:t>wszczęciu postępowania wyjaśniającego:</w:t>
      </w:r>
    </w:p>
    <w:p w14:paraId="1B6F7076" w14:textId="77777777" w:rsidR="009A1C65" w:rsidRPr="00653C91" w:rsidRDefault="009A1C65" w:rsidP="00653C91">
      <w:pPr>
        <w:pStyle w:val="Akapitzlist"/>
        <w:numPr>
          <w:ilvl w:val="0"/>
          <w:numId w:val="19"/>
        </w:numPr>
        <w:spacing w:before="0" w:after="60" w:line="360" w:lineRule="auto"/>
        <w:ind w:left="567" w:hanging="283"/>
        <w:contextualSpacing w:val="0"/>
        <w:jc w:val="both"/>
        <w:rPr>
          <w:rFonts w:cs="Arial"/>
        </w:rPr>
      </w:pPr>
      <w:r w:rsidRPr="00653C91">
        <w:rPr>
          <w:rFonts w:cs="Arial"/>
        </w:rPr>
        <w:t xml:space="preserve">Prezesa Sądu i Dyrektora Sądu – jeżeli zgłoszenie dotyczy </w:t>
      </w:r>
      <w:r w:rsidR="00E73CE9" w:rsidRPr="00653C91">
        <w:rPr>
          <w:rFonts w:cs="Arial"/>
        </w:rPr>
        <w:t>innych o</w:t>
      </w:r>
      <w:r w:rsidRPr="00653C91">
        <w:rPr>
          <w:rFonts w:cs="Arial"/>
        </w:rPr>
        <w:t>sób</w:t>
      </w:r>
      <w:r w:rsidR="00E73CE9" w:rsidRPr="00653C91">
        <w:rPr>
          <w:rFonts w:cs="Arial"/>
        </w:rPr>
        <w:t>;</w:t>
      </w:r>
    </w:p>
    <w:p w14:paraId="1D3A13D8" w14:textId="77777777" w:rsidR="00C805E7" w:rsidRPr="00653C91" w:rsidRDefault="00C805E7" w:rsidP="00653C91">
      <w:pPr>
        <w:pStyle w:val="Akapitzlist"/>
        <w:numPr>
          <w:ilvl w:val="0"/>
          <w:numId w:val="19"/>
        </w:numPr>
        <w:spacing w:before="0" w:after="60" w:line="360" w:lineRule="auto"/>
        <w:ind w:left="567" w:hanging="283"/>
        <w:contextualSpacing w:val="0"/>
        <w:jc w:val="both"/>
        <w:rPr>
          <w:rFonts w:cs="Arial"/>
        </w:rPr>
      </w:pPr>
      <w:r w:rsidRPr="00653C91">
        <w:rPr>
          <w:rFonts w:cs="Arial"/>
        </w:rPr>
        <w:t>Prezesa Sądu - jeżeli zgłoszenie dotyczy Dyrektora Sądu</w:t>
      </w:r>
      <w:r w:rsidR="00BD0257" w:rsidRPr="00653C91">
        <w:rPr>
          <w:rFonts w:cs="Arial"/>
        </w:rPr>
        <w:t>;</w:t>
      </w:r>
    </w:p>
    <w:p w14:paraId="5818090E" w14:textId="77777777" w:rsidR="00C805E7" w:rsidRPr="00653C91" w:rsidRDefault="00C805E7" w:rsidP="00653C91">
      <w:pPr>
        <w:pStyle w:val="Akapitzlist"/>
        <w:numPr>
          <w:ilvl w:val="0"/>
          <w:numId w:val="19"/>
        </w:numPr>
        <w:spacing w:before="0" w:after="60" w:line="360" w:lineRule="auto"/>
        <w:ind w:left="567" w:hanging="283"/>
        <w:contextualSpacing w:val="0"/>
        <w:jc w:val="both"/>
        <w:rPr>
          <w:rFonts w:cs="Arial"/>
        </w:rPr>
      </w:pPr>
      <w:r w:rsidRPr="00653C91">
        <w:rPr>
          <w:rFonts w:cs="Arial"/>
        </w:rPr>
        <w:t xml:space="preserve">Dyrektora Sądu - jeżeli </w:t>
      </w:r>
      <w:r w:rsidR="00E73CE9" w:rsidRPr="00653C91">
        <w:rPr>
          <w:rFonts w:cs="Arial"/>
        </w:rPr>
        <w:t>zgłoszenie dotyczy Prezesa Sądu.</w:t>
      </w:r>
    </w:p>
    <w:p w14:paraId="2D2031C8" w14:textId="77777777" w:rsidR="009A1C65" w:rsidRPr="00653C91" w:rsidRDefault="009A1C65" w:rsidP="00653C91">
      <w:pPr>
        <w:pStyle w:val="Akapitzlist"/>
        <w:numPr>
          <w:ilvl w:val="0"/>
          <w:numId w:val="10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>Prezes Sądu i Dyrektor Sądu sprawują bezpośredni nadzór nad Koordynatorem ds.</w:t>
      </w:r>
      <w:r w:rsidR="00171526" w:rsidRPr="00653C91">
        <w:rPr>
          <w:rFonts w:cs="Arial"/>
        </w:rPr>
        <w:t xml:space="preserve"> </w:t>
      </w:r>
      <w:r w:rsidR="00673163" w:rsidRPr="00653C91">
        <w:rPr>
          <w:rFonts w:cs="Arial"/>
        </w:rPr>
        <w:t>zgodności w</w:t>
      </w:r>
      <w:r w:rsidR="00B47467">
        <w:rPr>
          <w:rFonts w:cs="Arial"/>
        </w:rPr>
        <w:t xml:space="preserve"> </w:t>
      </w:r>
      <w:r w:rsidRPr="00653C91">
        <w:rPr>
          <w:rFonts w:cs="Arial"/>
        </w:rPr>
        <w:t>zakresie przyjmowania i rozpatrywania zgłoszeń nieprawidło</w:t>
      </w:r>
      <w:r w:rsidR="00673163" w:rsidRPr="00653C91">
        <w:rPr>
          <w:rFonts w:cs="Arial"/>
        </w:rPr>
        <w:t>wości oraz są odpowiedzialni za </w:t>
      </w:r>
      <w:r w:rsidRPr="00653C91">
        <w:rPr>
          <w:rFonts w:cs="Arial"/>
        </w:rPr>
        <w:t>skuteczność i adekwatność procedury w odniesieniu do</w:t>
      </w:r>
      <w:r w:rsidR="00171526" w:rsidRPr="00653C91">
        <w:rPr>
          <w:rFonts w:cs="Arial"/>
        </w:rPr>
        <w:t xml:space="preserve"> </w:t>
      </w:r>
      <w:r w:rsidRPr="00653C91">
        <w:rPr>
          <w:rFonts w:cs="Arial"/>
        </w:rPr>
        <w:t>Sądu.</w:t>
      </w:r>
    </w:p>
    <w:p w14:paraId="47229B60" w14:textId="77777777" w:rsidR="00B546E7" w:rsidRPr="00653C91" w:rsidRDefault="00B546E7" w:rsidP="00653C91">
      <w:pPr>
        <w:pStyle w:val="Akapitzlist"/>
        <w:spacing w:before="0" w:after="60" w:line="360" w:lineRule="auto"/>
        <w:ind w:left="357"/>
        <w:contextualSpacing w:val="0"/>
        <w:rPr>
          <w:rFonts w:cs="Arial"/>
        </w:rPr>
      </w:pPr>
    </w:p>
    <w:p w14:paraId="15AF83ED" w14:textId="77777777" w:rsidR="005B577E" w:rsidRPr="00653C91" w:rsidRDefault="005B577E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§ 5</w:t>
      </w:r>
    </w:p>
    <w:p w14:paraId="0964CA9B" w14:textId="77777777" w:rsidR="005B577E" w:rsidRPr="00653C91" w:rsidRDefault="005B577E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bookmarkStart w:id="2" w:name="bookmark4"/>
      <w:r w:rsidRPr="00653C91">
        <w:rPr>
          <w:rFonts w:cs="Arial"/>
          <w:b/>
          <w:szCs w:val="24"/>
        </w:rPr>
        <w:t>ZGŁASZANIE NIEPRAWIDŁOWOŚCI</w:t>
      </w:r>
      <w:bookmarkEnd w:id="2"/>
    </w:p>
    <w:p w14:paraId="7ABD55ED" w14:textId="77777777" w:rsidR="005B577E" w:rsidRPr="00653C91" w:rsidRDefault="005B577E" w:rsidP="00653C91">
      <w:pPr>
        <w:pStyle w:val="Akapitzlist"/>
        <w:numPr>
          <w:ilvl w:val="0"/>
          <w:numId w:val="5"/>
        </w:numPr>
        <w:tabs>
          <w:tab w:val="clear" w:pos="-360"/>
        </w:tabs>
        <w:spacing w:before="0" w:after="60" w:line="360" w:lineRule="auto"/>
        <w:ind w:left="284" w:hanging="284"/>
        <w:contextualSpacing w:val="0"/>
        <w:jc w:val="both"/>
        <w:rPr>
          <w:rFonts w:eastAsia="Segoe UI" w:cs="Arial"/>
        </w:rPr>
      </w:pPr>
      <w:r w:rsidRPr="00653C91">
        <w:rPr>
          <w:rFonts w:eastAsia="Segoe UI" w:cs="Arial"/>
        </w:rPr>
        <w:t xml:space="preserve">Sąd </w:t>
      </w:r>
      <w:r w:rsidR="002529AB" w:rsidRPr="00653C91">
        <w:rPr>
          <w:rFonts w:eastAsia="Segoe UI" w:cs="Arial"/>
        </w:rPr>
        <w:t xml:space="preserve">Rejonowy w </w:t>
      </w:r>
      <w:r w:rsidR="00653C91">
        <w:rPr>
          <w:rFonts w:eastAsia="Segoe UI" w:cs="Arial"/>
        </w:rPr>
        <w:t>Rzeszowie</w:t>
      </w:r>
      <w:r w:rsidR="002529AB" w:rsidRPr="00653C91">
        <w:rPr>
          <w:rFonts w:eastAsia="Segoe UI" w:cs="Arial"/>
        </w:rPr>
        <w:t xml:space="preserve"> </w:t>
      </w:r>
      <w:r w:rsidRPr="00653C91">
        <w:rPr>
          <w:rFonts w:eastAsia="Segoe UI" w:cs="Arial"/>
        </w:rPr>
        <w:t>nie dopuszcza anonimowego zgłaszania nieprawidłowości.</w:t>
      </w:r>
    </w:p>
    <w:p w14:paraId="4C965916" w14:textId="77777777" w:rsidR="005B577E" w:rsidRPr="00653C91" w:rsidRDefault="005B577E" w:rsidP="00653C91">
      <w:pPr>
        <w:pStyle w:val="Tekstpodstawowy2"/>
        <w:numPr>
          <w:ilvl w:val="0"/>
          <w:numId w:val="5"/>
        </w:numPr>
        <w:tabs>
          <w:tab w:val="clear" w:pos="-360"/>
        </w:tabs>
        <w:spacing w:before="0" w:after="60" w:line="360" w:lineRule="auto"/>
        <w:ind w:left="284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Zgłoszenia nieprawidłowości mogą być przekazywane jedynie za pośrednictwem </w:t>
      </w:r>
      <w:r w:rsidRPr="00653C91">
        <w:rPr>
          <w:rFonts w:ascii="Arial" w:hAnsi="Arial" w:cs="Arial"/>
          <w:spacing w:val="0"/>
          <w:sz w:val="24"/>
          <w:szCs w:val="24"/>
        </w:rPr>
        <w:lastRenderedPageBreak/>
        <w:t>następujących kanałów kontaktu:</w:t>
      </w:r>
    </w:p>
    <w:p w14:paraId="3EE481BA" w14:textId="77777777" w:rsidR="005B577E" w:rsidRPr="00653C91" w:rsidRDefault="005B577E" w:rsidP="00653C91">
      <w:pPr>
        <w:pStyle w:val="Tekstpodstawowy2"/>
        <w:numPr>
          <w:ilvl w:val="0"/>
          <w:numId w:val="12"/>
        </w:numPr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dedykowanej skrzynki poczty elektronicznej </w:t>
      </w:r>
      <w:r w:rsidRPr="00653C91">
        <w:rPr>
          <w:rFonts w:ascii="Arial" w:hAnsi="Arial" w:cs="Arial"/>
          <w:b/>
          <w:spacing w:val="0"/>
          <w:sz w:val="24"/>
          <w:szCs w:val="24"/>
        </w:rPr>
        <w:t>n</w:t>
      </w:r>
      <w:r w:rsidR="00A87753">
        <w:rPr>
          <w:rFonts w:ascii="Arial" w:hAnsi="Arial" w:cs="Arial"/>
          <w:b/>
          <w:spacing w:val="0"/>
          <w:sz w:val="24"/>
          <w:szCs w:val="24"/>
        </w:rPr>
        <w:t>aruszenia</w:t>
      </w:r>
      <w:r w:rsidRPr="00653C91">
        <w:rPr>
          <w:rFonts w:ascii="Arial" w:hAnsi="Arial" w:cs="Arial"/>
          <w:b/>
          <w:spacing w:val="0"/>
          <w:sz w:val="24"/>
          <w:szCs w:val="24"/>
        </w:rPr>
        <w:t>@</w:t>
      </w:r>
      <w:r w:rsidR="00653C91">
        <w:rPr>
          <w:rFonts w:ascii="Arial" w:hAnsi="Arial" w:cs="Arial"/>
          <w:b/>
          <w:spacing w:val="0"/>
          <w:sz w:val="24"/>
          <w:szCs w:val="24"/>
        </w:rPr>
        <w:t>rzeszow</w:t>
      </w:r>
      <w:r w:rsidRPr="00653C91">
        <w:rPr>
          <w:rFonts w:ascii="Arial" w:hAnsi="Arial" w:cs="Arial"/>
          <w:b/>
          <w:spacing w:val="0"/>
          <w:sz w:val="24"/>
          <w:szCs w:val="24"/>
        </w:rPr>
        <w:t>.sr.gov.pl</w:t>
      </w:r>
    </w:p>
    <w:p w14:paraId="5F518327" w14:textId="77777777" w:rsidR="00B47467" w:rsidRDefault="002529AB" w:rsidP="00653C91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rFonts w:eastAsia="Segoe UI" w:cs="Arial"/>
        </w:rPr>
      </w:pPr>
      <w:r w:rsidRPr="00653C91">
        <w:rPr>
          <w:rFonts w:cs="Arial"/>
        </w:rPr>
        <w:t>pisemnie na adres: Koordynatora ds.</w:t>
      </w:r>
      <w:r w:rsidR="00653C91">
        <w:rPr>
          <w:rFonts w:cs="Arial"/>
        </w:rPr>
        <w:t xml:space="preserve"> </w:t>
      </w:r>
      <w:r w:rsidRPr="00653C91">
        <w:rPr>
          <w:rFonts w:cs="Arial"/>
        </w:rPr>
        <w:t>zgodności</w:t>
      </w:r>
      <w:r w:rsidRPr="00653C91">
        <w:rPr>
          <w:rFonts w:eastAsia="Segoe UI" w:cs="Arial"/>
        </w:rPr>
        <w:t xml:space="preserve">, Sąd Rejonowy w </w:t>
      </w:r>
      <w:r w:rsidR="00653C91">
        <w:rPr>
          <w:rFonts w:eastAsia="Segoe UI" w:cs="Arial"/>
        </w:rPr>
        <w:t>Rzeszowie</w:t>
      </w:r>
      <w:r w:rsidRPr="00653C91">
        <w:rPr>
          <w:rFonts w:eastAsia="Segoe UI" w:cs="Arial"/>
        </w:rPr>
        <w:t>,</w:t>
      </w:r>
    </w:p>
    <w:p w14:paraId="55214D0D" w14:textId="77777777" w:rsidR="002529AB" w:rsidRPr="00653C91" w:rsidRDefault="00653C91" w:rsidP="00B47467">
      <w:pPr>
        <w:pStyle w:val="Akapitzlist"/>
        <w:spacing w:line="360" w:lineRule="auto"/>
        <w:ind w:left="567"/>
        <w:rPr>
          <w:rFonts w:eastAsia="Segoe UI" w:cs="Arial"/>
        </w:rPr>
      </w:pPr>
      <w:r>
        <w:rPr>
          <w:rFonts w:eastAsia="Segoe UI" w:cs="Arial"/>
        </w:rPr>
        <w:t xml:space="preserve">35-303 Rzeszów </w:t>
      </w:r>
      <w:r w:rsidR="002529AB" w:rsidRPr="00653C91">
        <w:rPr>
          <w:rFonts w:eastAsia="Segoe UI" w:cs="Arial"/>
        </w:rPr>
        <w:t xml:space="preserve">, ul. </w:t>
      </w:r>
      <w:r>
        <w:rPr>
          <w:rFonts w:eastAsia="Segoe UI" w:cs="Arial"/>
        </w:rPr>
        <w:t xml:space="preserve">Generała Józefa </w:t>
      </w:r>
      <w:proofErr w:type="spellStart"/>
      <w:r>
        <w:rPr>
          <w:rFonts w:eastAsia="Segoe UI" w:cs="Arial"/>
        </w:rPr>
        <w:t>Kustronia</w:t>
      </w:r>
      <w:proofErr w:type="spellEnd"/>
      <w:r>
        <w:rPr>
          <w:rFonts w:eastAsia="Segoe UI" w:cs="Arial"/>
        </w:rPr>
        <w:t xml:space="preserve"> 4</w:t>
      </w:r>
      <w:r w:rsidR="002529AB" w:rsidRPr="00653C91">
        <w:rPr>
          <w:rFonts w:eastAsia="Segoe UI" w:cs="Arial"/>
        </w:rPr>
        <w:t xml:space="preserve"> </w:t>
      </w:r>
      <w:r w:rsidR="002529AB" w:rsidRPr="00653C91">
        <w:rPr>
          <w:rFonts w:eastAsia="Segoe UI" w:cs="Arial"/>
          <w:b/>
        </w:rPr>
        <w:t>z dopiskiem „NARUSZENIA</w:t>
      </w:r>
      <w:r w:rsidR="002529AB" w:rsidRPr="00653C91">
        <w:rPr>
          <w:rFonts w:eastAsia="Segoe UI" w:cs="Arial"/>
        </w:rPr>
        <w:t>”</w:t>
      </w:r>
    </w:p>
    <w:p w14:paraId="7995DC69" w14:textId="77777777" w:rsidR="005B577E" w:rsidRPr="00653C91" w:rsidRDefault="005B577E" w:rsidP="00653C91">
      <w:pPr>
        <w:pStyle w:val="Tekstpodstawowy2"/>
        <w:spacing w:before="0" w:after="60" w:line="360" w:lineRule="auto"/>
        <w:ind w:firstLine="0"/>
        <w:jc w:val="both"/>
        <w:rPr>
          <w:rFonts w:ascii="Arial" w:hAnsi="Arial" w:cs="Arial"/>
          <w:spacing w:val="0"/>
          <w:sz w:val="24"/>
          <w:szCs w:val="24"/>
        </w:rPr>
      </w:pPr>
    </w:p>
    <w:p w14:paraId="0535AF8B" w14:textId="77777777" w:rsidR="005B577E" w:rsidRPr="00653C91" w:rsidRDefault="005B577E" w:rsidP="00653C91">
      <w:pPr>
        <w:pStyle w:val="Tekstpodstawowy2"/>
        <w:numPr>
          <w:ilvl w:val="0"/>
          <w:numId w:val="5"/>
        </w:numPr>
        <w:tabs>
          <w:tab w:val="clear" w:pos="-360"/>
        </w:tabs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Zgłoszenie nieprawidłowości może być złożone według wzoru stanowiącego </w:t>
      </w:r>
      <w:r w:rsidRPr="00653C91">
        <w:rPr>
          <w:rFonts w:ascii="Arial" w:hAnsi="Arial" w:cs="Arial"/>
          <w:spacing w:val="0"/>
          <w:sz w:val="24"/>
          <w:szCs w:val="24"/>
          <w:u w:val="single"/>
        </w:rPr>
        <w:t>załącznik nr 1</w:t>
      </w:r>
      <w:r w:rsidRPr="00653C91">
        <w:rPr>
          <w:rFonts w:ascii="Arial" w:hAnsi="Arial" w:cs="Arial"/>
          <w:spacing w:val="0"/>
          <w:sz w:val="24"/>
          <w:szCs w:val="24"/>
        </w:rPr>
        <w:t>, lub</w:t>
      </w:r>
      <w:r w:rsidR="00B47467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składane w innej formie, ale powinno zawierać przejrzyste i pełne wyjaśnienie przedmiotu zgłoszenia oraz co najmniej następujące informacje:</w:t>
      </w:r>
    </w:p>
    <w:p w14:paraId="779C23A9" w14:textId="77777777" w:rsidR="005B577E" w:rsidRPr="00653C91" w:rsidRDefault="005B577E" w:rsidP="00653C91">
      <w:pPr>
        <w:pStyle w:val="Tekstpodstawowy2"/>
        <w:numPr>
          <w:ilvl w:val="0"/>
          <w:numId w:val="13"/>
        </w:numPr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datę oraz miejsce zaistnienia nieprawidłowości lub datę i miejsce pozyskania informacji o nieprawidłowości,</w:t>
      </w:r>
    </w:p>
    <w:p w14:paraId="3C110521" w14:textId="77777777" w:rsidR="005B577E" w:rsidRPr="00653C91" w:rsidRDefault="005B577E" w:rsidP="00653C91">
      <w:pPr>
        <w:pStyle w:val="Tekstpodstawowy2"/>
        <w:numPr>
          <w:ilvl w:val="0"/>
          <w:numId w:val="13"/>
        </w:numPr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opis konkretnej sytuacji lub okoliczności stwarzających możliwość wystąpienia nieprawidłowości,</w:t>
      </w:r>
    </w:p>
    <w:p w14:paraId="73FE8AD7" w14:textId="77777777" w:rsidR="005B577E" w:rsidRPr="00653C91" w:rsidRDefault="005B577E" w:rsidP="00653C91">
      <w:pPr>
        <w:pStyle w:val="Tekstpodstawowy2"/>
        <w:numPr>
          <w:ilvl w:val="0"/>
          <w:numId w:val="13"/>
        </w:numPr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wskazanie komórki lub osoby, których dotyczy zgłoszenie nieprawidłowości,</w:t>
      </w:r>
    </w:p>
    <w:p w14:paraId="072161BB" w14:textId="77777777" w:rsidR="005B577E" w:rsidRPr="00653C91" w:rsidRDefault="005B577E" w:rsidP="00653C91">
      <w:pPr>
        <w:pStyle w:val="Tekstpodstawowy2"/>
        <w:numPr>
          <w:ilvl w:val="0"/>
          <w:numId w:val="13"/>
        </w:numPr>
        <w:spacing w:before="0" w:after="60" w:line="360" w:lineRule="auto"/>
        <w:ind w:left="567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wskazanie ewentualnych świadków nieprawidłowości,</w:t>
      </w:r>
    </w:p>
    <w:p w14:paraId="26AEEDB8" w14:textId="77777777" w:rsidR="005B577E" w:rsidRPr="00653C91" w:rsidRDefault="005B577E" w:rsidP="00653C91">
      <w:pPr>
        <w:pStyle w:val="Tekstpodstawowy2"/>
        <w:numPr>
          <w:ilvl w:val="0"/>
          <w:numId w:val="13"/>
        </w:numPr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wskazanie wszystkich dowodów i informacji, jakimi dysponuje zgłaszający, które mogą okazać się pomocne w procesie rozpatrywania nieprawidłowości,</w:t>
      </w:r>
    </w:p>
    <w:p w14:paraId="1FE27AD2" w14:textId="77777777" w:rsidR="005B577E" w:rsidRPr="00653C91" w:rsidRDefault="005B577E" w:rsidP="00653C91">
      <w:pPr>
        <w:pStyle w:val="Tekstpodstawowy2"/>
        <w:numPr>
          <w:ilvl w:val="0"/>
          <w:numId w:val="13"/>
        </w:numPr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dane osobowe zgłaszającego.</w:t>
      </w:r>
    </w:p>
    <w:p w14:paraId="4E8E8EFF" w14:textId="77777777" w:rsidR="005B577E" w:rsidRDefault="005B577E" w:rsidP="00653C91">
      <w:pPr>
        <w:pStyle w:val="Tekstpodstawowy2"/>
        <w:numPr>
          <w:ilvl w:val="0"/>
          <w:numId w:val="5"/>
        </w:numPr>
        <w:tabs>
          <w:tab w:val="clear" w:pos="-360"/>
        </w:tabs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Zgłaszający zobowiązany jest do traktowania posiadanych przez niego informacji dotyczących podejrzenia nieprawidłowości jako tajemnicy Sądu i powstrzymania się od publicznych rozmów o zgłaszanych podejrzeniach nieprawidłowości, chyba że osoba ta jest zobowiązana do takiego działania przepisami prawa.</w:t>
      </w:r>
    </w:p>
    <w:p w14:paraId="4E10BC21" w14:textId="77777777" w:rsidR="00B47467" w:rsidRPr="00653C91" w:rsidRDefault="00B47467" w:rsidP="00B47467">
      <w:pPr>
        <w:pStyle w:val="Tekstpodstawowy2"/>
        <w:spacing w:before="0" w:after="60" w:line="360" w:lineRule="auto"/>
        <w:ind w:left="284" w:right="20" w:firstLine="0"/>
        <w:jc w:val="both"/>
        <w:rPr>
          <w:rFonts w:ascii="Arial" w:hAnsi="Arial" w:cs="Arial"/>
          <w:spacing w:val="0"/>
          <w:sz w:val="24"/>
          <w:szCs w:val="24"/>
        </w:rPr>
      </w:pPr>
    </w:p>
    <w:p w14:paraId="730E229D" w14:textId="77777777" w:rsidR="009A1C65" w:rsidRPr="00653C91" w:rsidRDefault="009A1C65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§</w:t>
      </w:r>
      <w:r w:rsidR="00B546E7" w:rsidRPr="00653C91">
        <w:rPr>
          <w:rFonts w:cs="Arial"/>
          <w:b/>
          <w:szCs w:val="24"/>
        </w:rPr>
        <w:t xml:space="preserve"> </w:t>
      </w:r>
      <w:r w:rsidR="005B577E" w:rsidRPr="00653C91">
        <w:rPr>
          <w:rFonts w:cs="Arial"/>
          <w:b/>
          <w:szCs w:val="24"/>
        </w:rPr>
        <w:t>6</w:t>
      </w:r>
    </w:p>
    <w:p w14:paraId="0052DF12" w14:textId="77777777" w:rsidR="00B546E7" w:rsidRPr="00653C91" w:rsidRDefault="00B546E7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STATUS SYGNALISTY</w:t>
      </w:r>
    </w:p>
    <w:p w14:paraId="064456BC" w14:textId="77777777" w:rsidR="00D24790" w:rsidRPr="00653C91" w:rsidRDefault="00D24790" w:rsidP="00653C91">
      <w:pPr>
        <w:pStyle w:val="Akapitzlist"/>
        <w:numPr>
          <w:ilvl w:val="0"/>
          <w:numId w:val="11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>Każda osoba uprawniona do dokonania zgłoszenia powinna zgłosić nieprawidłowość, jeśli istnieją po jej stronie uzasadnione podstawy, by sądzić, że przekazywane informacje są prawdziwe (</w:t>
      </w:r>
      <w:r w:rsidR="00063D31">
        <w:rPr>
          <w:rFonts w:cs="Arial"/>
        </w:rPr>
        <w:t xml:space="preserve">w tzw. </w:t>
      </w:r>
      <w:r w:rsidRPr="00653C91">
        <w:rPr>
          <w:rFonts w:cs="Arial"/>
        </w:rPr>
        <w:t>dobr</w:t>
      </w:r>
      <w:r w:rsidR="00063D31">
        <w:rPr>
          <w:rFonts w:cs="Arial"/>
        </w:rPr>
        <w:t>ej</w:t>
      </w:r>
      <w:r w:rsidRPr="00653C91">
        <w:rPr>
          <w:rFonts w:cs="Arial"/>
        </w:rPr>
        <w:t xml:space="preserve"> wi</w:t>
      </w:r>
      <w:r w:rsidR="00063D31">
        <w:rPr>
          <w:rFonts w:cs="Arial"/>
        </w:rPr>
        <w:t>erze</w:t>
      </w:r>
      <w:r w:rsidRPr="00653C91">
        <w:rPr>
          <w:rFonts w:cs="Arial"/>
        </w:rPr>
        <w:t>).</w:t>
      </w:r>
    </w:p>
    <w:p w14:paraId="06C02FB0" w14:textId="77777777" w:rsidR="009A1C65" w:rsidRPr="00653C91" w:rsidRDefault="009A1C65" w:rsidP="00653C91">
      <w:pPr>
        <w:pStyle w:val="Akapitzlist"/>
        <w:numPr>
          <w:ilvl w:val="0"/>
          <w:numId w:val="11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>Status sygnalisty uzyskuje każdy zgłaszający, chyba że wstępna analiza zgłoszenia daje podstawy do przyjęcia, iż zgłaszający w sposób oczywisty działał w złej wierze (domniemanie dobrej wiary). W złej wierze pozostaje zgłaszający, który działa w celu sprzecznym z prawem lub zasadami współżycia społecznego.</w:t>
      </w:r>
    </w:p>
    <w:p w14:paraId="15F21611" w14:textId="77777777" w:rsidR="009A1C65" w:rsidRPr="00653C91" w:rsidRDefault="009A1C65" w:rsidP="00653C91">
      <w:pPr>
        <w:pStyle w:val="Akapitzlist"/>
        <w:numPr>
          <w:ilvl w:val="0"/>
          <w:numId w:val="11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 xml:space="preserve">Sygnalista ma zapewnioną anonimowość i bez wyraźnej zgody jego tożsamość nie może być ujawniona innym osobom poza Koordynatorem ds. zgodności i Kierownictwem Sądu. </w:t>
      </w:r>
      <w:r w:rsidRPr="00653C91">
        <w:rPr>
          <w:rFonts w:cs="Arial"/>
        </w:rPr>
        <w:lastRenderedPageBreak/>
        <w:t>Członkowie komisji wyjaśniającej (z wyłączeniem przewodniczącego), jeśli nie wymaga tego charakter czynności wyjaśniających, nie są informowani o tożsamości sygnalisty.</w:t>
      </w:r>
    </w:p>
    <w:p w14:paraId="03455465" w14:textId="77777777" w:rsidR="009A1C65" w:rsidRPr="00653C91" w:rsidRDefault="009A1C65" w:rsidP="00653C91">
      <w:pPr>
        <w:pStyle w:val="Akapitzlist"/>
        <w:numPr>
          <w:ilvl w:val="0"/>
          <w:numId w:val="11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>Decyzję o nadaniu statusu sygnalisty podejmuje Koordynator ds. zgodności.</w:t>
      </w:r>
    </w:p>
    <w:p w14:paraId="15C36A18" w14:textId="77777777" w:rsidR="00063D31" w:rsidRDefault="009A1C65" w:rsidP="00653C91">
      <w:pPr>
        <w:pStyle w:val="Akapitzlist"/>
        <w:numPr>
          <w:ilvl w:val="0"/>
          <w:numId w:val="11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 xml:space="preserve">Koordynator </w:t>
      </w:r>
      <w:r w:rsidR="004B34D4">
        <w:rPr>
          <w:rFonts w:cs="Arial"/>
        </w:rPr>
        <w:t xml:space="preserve">ds. </w:t>
      </w:r>
      <w:r w:rsidRPr="00653C91">
        <w:rPr>
          <w:rFonts w:cs="Arial"/>
        </w:rPr>
        <w:t xml:space="preserve">zgodności, o ile jest to możliwe, potwierdza przyjęcie zgłoszenia nieprawidłowości zgłaszającemu oraz informuje zgłaszającego o nadaniu albo odmowie nadania mu statusu sygnalisty w terminie 7 dni od daty jego otrzymania. Odmowa nadania zgłaszającemu statusu sygnalisty wymaga uzasadnienia. </w:t>
      </w:r>
    </w:p>
    <w:p w14:paraId="04C9C9D1" w14:textId="77777777" w:rsidR="009A1C65" w:rsidRPr="00653C91" w:rsidRDefault="009A1C65" w:rsidP="00063D31">
      <w:pPr>
        <w:pStyle w:val="Akapitzlist"/>
        <w:spacing w:before="0" w:after="60" w:line="360" w:lineRule="auto"/>
        <w:ind w:left="284"/>
        <w:contextualSpacing w:val="0"/>
        <w:jc w:val="both"/>
        <w:rPr>
          <w:rFonts w:cs="Arial"/>
        </w:rPr>
      </w:pPr>
      <w:r w:rsidRPr="00653C91">
        <w:rPr>
          <w:rFonts w:cs="Arial"/>
        </w:rPr>
        <w:t>Wzór potwierdzenia zgłoszenia, przekazywany pisemnie lub pocztą elektroniczną</w:t>
      </w:r>
      <w:r w:rsidR="00085678" w:rsidRPr="00653C91">
        <w:rPr>
          <w:rFonts w:cs="Arial"/>
        </w:rPr>
        <w:t>,</w:t>
      </w:r>
      <w:r w:rsidRPr="00653C91">
        <w:rPr>
          <w:rFonts w:cs="Arial"/>
        </w:rPr>
        <w:t xml:space="preserve"> stanowi </w:t>
      </w:r>
      <w:r w:rsidRPr="00653C91">
        <w:rPr>
          <w:rFonts w:cs="Arial"/>
          <w:u w:val="single"/>
        </w:rPr>
        <w:t xml:space="preserve">załącznik nr </w:t>
      </w:r>
      <w:r w:rsidR="005B577E" w:rsidRPr="00653C91">
        <w:rPr>
          <w:rFonts w:cs="Arial"/>
          <w:u w:val="single"/>
        </w:rPr>
        <w:t>2</w:t>
      </w:r>
      <w:r w:rsidRPr="00653C91">
        <w:rPr>
          <w:rFonts w:cs="Arial"/>
        </w:rPr>
        <w:t xml:space="preserve"> do niniejszej procedury.</w:t>
      </w:r>
      <w:r w:rsidR="00EF21AA" w:rsidRPr="00653C91">
        <w:rPr>
          <w:rFonts w:cs="Arial"/>
        </w:rPr>
        <w:t xml:space="preserve"> </w:t>
      </w:r>
    </w:p>
    <w:p w14:paraId="4C501467" w14:textId="77777777" w:rsidR="009A1C65" w:rsidRPr="00653C91" w:rsidRDefault="009A1C65" w:rsidP="00653C91">
      <w:pPr>
        <w:pStyle w:val="Akapitzlist"/>
        <w:numPr>
          <w:ilvl w:val="0"/>
          <w:numId w:val="11"/>
        </w:numPr>
        <w:spacing w:before="0" w:after="60" w:line="360" w:lineRule="auto"/>
        <w:ind w:left="284" w:hanging="284"/>
        <w:contextualSpacing w:val="0"/>
        <w:jc w:val="both"/>
        <w:rPr>
          <w:rFonts w:cs="Arial"/>
        </w:rPr>
      </w:pPr>
      <w:r w:rsidRPr="00653C91">
        <w:rPr>
          <w:rFonts w:cs="Arial"/>
        </w:rPr>
        <w:t>Jeżeli w toku postępowania wyjaśniającego okaże się, że zgłaszający, który uprzednio otrzymał status sygnalisty, działał w złej wierze, to zostaje on pozba</w:t>
      </w:r>
      <w:r w:rsidR="00673163" w:rsidRPr="00653C91">
        <w:rPr>
          <w:rFonts w:cs="Arial"/>
        </w:rPr>
        <w:t>wiony ochrony przewidzianej dla</w:t>
      </w:r>
      <w:r w:rsidR="00B47467">
        <w:rPr>
          <w:rFonts w:cs="Arial"/>
        </w:rPr>
        <w:t xml:space="preserve"> </w:t>
      </w:r>
      <w:r w:rsidRPr="00653C91">
        <w:rPr>
          <w:rFonts w:cs="Arial"/>
        </w:rPr>
        <w:t>sygnalisty.</w:t>
      </w:r>
    </w:p>
    <w:p w14:paraId="372BA1D3" w14:textId="77777777" w:rsidR="00B546E7" w:rsidRPr="00653C91" w:rsidRDefault="00B546E7" w:rsidP="00653C91">
      <w:pPr>
        <w:spacing w:before="0" w:after="60" w:line="360" w:lineRule="auto"/>
        <w:jc w:val="center"/>
        <w:rPr>
          <w:rFonts w:cs="Arial"/>
          <w:szCs w:val="24"/>
        </w:rPr>
      </w:pPr>
    </w:p>
    <w:p w14:paraId="1FEBFB1D" w14:textId="77777777" w:rsidR="005B577E" w:rsidRPr="00653C91" w:rsidRDefault="005B577E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§ 7</w:t>
      </w:r>
    </w:p>
    <w:p w14:paraId="3B0D4ABF" w14:textId="77777777" w:rsidR="005B577E" w:rsidRPr="00653C91" w:rsidRDefault="005B577E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bookmarkStart w:id="3" w:name="bookmark10"/>
      <w:r w:rsidRPr="00653C91">
        <w:rPr>
          <w:rFonts w:cs="Arial"/>
          <w:b/>
          <w:szCs w:val="24"/>
        </w:rPr>
        <w:t>REJESTR NIEPRAWIDŁOWOŚCI</w:t>
      </w:r>
      <w:bookmarkEnd w:id="3"/>
    </w:p>
    <w:p w14:paraId="07F9589B" w14:textId="77777777" w:rsidR="005B577E" w:rsidRPr="00653C91" w:rsidRDefault="005B577E" w:rsidP="00653C91">
      <w:pPr>
        <w:pStyle w:val="Tekstpodstawowy2"/>
        <w:numPr>
          <w:ilvl w:val="0"/>
          <w:numId w:val="18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Każde zgłoszenie nieprawidłowości zostaje zarejestrowane w rejestrze nieprawidłowości, niezależnie od dalszego przebiegu postępowania wyjaśniającego.</w:t>
      </w:r>
    </w:p>
    <w:p w14:paraId="03C8F646" w14:textId="77777777" w:rsidR="005B577E" w:rsidRPr="00653C91" w:rsidRDefault="005B577E" w:rsidP="00653C91">
      <w:pPr>
        <w:pStyle w:val="Tekstpodstawowy2"/>
        <w:numPr>
          <w:ilvl w:val="0"/>
          <w:numId w:val="18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Za prowadzenie rejestru nieprawidłowości w Sądzie odpowiada Koordynator ds. zgodności.</w:t>
      </w:r>
    </w:p>
    <w:p w14:paraId="4F9C853D" w14:textId="77777777" w:rsidR="005B577E" w:rsidRPr="00653C91" w:rsidRDefault="005B577E" w:rsidP="00653C91">
      <w:pPr>
        <w:pStyle w:val="Tekstpodstawowy2"/>
        <w:numPr>
          <w:ilvl w:val="0"/>
          <w:numId w:val="18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Rejestr nieprawidłowości należy prowadzić według wzoru stanowiącego </w:t>
      </w:r>
      <w:r w:rsidRPr="00653C91">
        <w:rPr>
          <w:rFonts w:ascii="Arial" w:hAnsi="Arial" w:cs="Arial"/>
          <w:spacing w:val="0"/>
          <w:sz w:val="24"/>
          <w:szCs w:val="24"/>
          <w:u w:val="single"/>
        </w:rPr>
        <w:t>załącznik nr 3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 zawierający co najmniej:</w:t>
      </w:r>
    </w:p>
    <w:p w14:paraId="42B05CA3" w14:textId="77777777" w:rsidR="005B577E" w:rsidRPr="00653C91" w:rsidRDefault="005B577E" w:rsidP="00653C91">
      <w:pPr>
        <w:pStyle w:val="Tekstpodstawowy2"/>
        <w:numPr>
          <w:ilvl w:val="0"/>
          <w:numId w:val="17"/>
        </w:numPr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nr sprawy, </w:t>
      </w:r>
    </w:p>
    <w:p w14:paraId="02DEAD23" w14:textId="77777777" w:rsidR="005B577E" w:rsidRPr="00653C91" w:rsidRDefault="005B577E" w:rsidP="00653C91">
      <w:pPr>
        <w:pStyle w:val="Tekstpodstawowy2"/>
        <w:numPr>
          <w:ilvl w:val="0"/>
          <w:numId w:val="17"/>
        </w:numPr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przedmiot zawiadomienia, </w:t>
      </w:r>
    </w:p>
    <w:p w14:paraId="33A4DBFA" w14:textId="77777777" w:rsidR="005B577E" w:rsidRPr="00653C91" w:rsidRDefault="005B577E" w:rsidP="00653C91">
      <w:pPr>
        <w:pStyle w:val="Tekstpodstawowy2"/>
        <w:numPr>
          <w:ilvl w:val="0"/>
          <w:numId w:val="17"/>
        </w:numPr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datę dokonania zawiadomienia, </w:t>
      </w:r>
    </w:p>
    <w:p w14:paraId="5697CB81" w14:textId="77777777" w:rsidR="005B577E" w:rsidRPr="00653C91" w:rsidRDefault="005B577E" w:rsidP="00653C91">
      <w:pPr>
        <w:pStyle w:val="Tekstpodstawowy2"/>
        <w:numPr>
          <w:ilvl w:val="0"/>
          <w:numId w:val="17"/>
        </w:numPr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informację o podjętych działaniach następczych, </w:t>
      </w:r>
    </w:p>
    <w:p w14:paraId="186701DC" w14:textId="77777777" w:rsidR="005B577E" w:rsidRPr="00653C91" w:rsidRDefault="005B577E" w:rsidP="00653C91">
      <w:pPr>
        <w:pStyle w:val="Tekstpodstawowy2"/>
        <w:numPr>
          <w:ilvl w:val="0"/>
          <w:numId w:val="17"/>
        </w:numPr>
        <w:spacing w:before="0" w:after="60" w:line="360" w:lineRule="auto"/>
        <w:ind w:left="567" w:right="20" w:hanging="283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datę zakończenia sprawy. </w:t>
      </w:r>
    </w:p>
    <w:p w14:paraId="42BF2146" w14:textId="77777777" w:rsidR="005B577E" w:rsidRPr="00653C91" w:rsidRDefault="005B577E" w:rsidP="00653C91">
      <w:pPr>
        <w:pStyle w:val="Tekstpodstawowy2"/>
        <w:numPr>
          <w:ilvl w:val="0"/>
          <w:numId w:val="18"/>
        </w:numPr>
        <w:spacing w:before="0" w:after="60" w:line="360" w:lineRule="auto"/>
        <w:ind w:left="284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Poza prowadzeniem rejestru, Koordynator ds.</w:t>
      </w:r>
      <w:r w:rsidR="004B34D4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zgodności, przy zachowaniu zasad poufności tajemnicy Sądu, jest zobowiązany do przechowywania wszelkich dowodów, dokumentów i</w:t>
      </w:r>
      <w:r w:rsidR="00B47467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informacji zebranych w toku analizy oraz informacji dotyczących rozpatrzenia zgłoszenia przez okres co najmniej 5 lat od czasu zakończenia postępowania wyjaśniającego, chyba że obowiązki wynikające z innych przepisów nakazują wydłużenie tego okresu.</w:t>
      </w:r>
    </w:p>
    <w:p w14:paraId="396C57CB" w14:textId="77777777" w:rsidR="002529AB" w:rsidRPr="00653C91" w:rsidRDefault="002529AB" w:rsidP="00653C91">
      <w:pPr>
        <w:spacing w:before="0" w:after="60" w:line="360" w:lineRule="auto"/>
        <w:rPr>
          <w:rFonts w:cs="Arial"/>
          <w:szCs w:val="24"/>
        </w:rPr>
      </w:pPr>
    </w:p>
    <w:p w14:paraId="0C70C6AA" w14:textId="77777777" w:rsidR="009A1C65" w:rsidRPr="00653C91" w:rsidRDefault="009A1C65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lastRenderedPageBreak/>
        <w:t>§</w:t>
      </w:r>
      <w:r w:rsidR="005B577E" w:rsidRPr="00653C91">
        <w:rPr>
          <w:rFonts w:cs="Arial"/>
          <w:b/>
          <w:szCs w:val="24"/>
        </w:rPr>
        <w:t xml:space="preserve"> 8</w:t>
      </w:r>
    </w:p>
    <w:p w14:paraId="5D8218E9" w14:textId="77777777" w:rsidR="000C6B34" w:rsidRPr="00653C91" w:rsidRDefault="000C6B34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bookmarkStart w:id="4" w:name="bookmark6"/>
      <w:r w:rsidRPr="00653C91">
        <w:rPr>
          <w:rFonts w:cs="Arial"/>
          <w:b/>
          <w:szCs w:val="24"/>
        </w:rPr>
        <w:t>ODPOWIEDZIALNOŚĆ ZA FAŁSZYWE ZGŁOSZENIE</w:t>
      </w:r>
      <w:bookmarkEnd w:id="4"/>
    </w:p>
    <w:p w14:paraId="6302827A" w14:textId="77777777" w:rsidR="009876ED" w:rsidRPr="00231D1A" w:rsidRDefault="009A1C65" w:rsidP="00653C91">
      <w:pPr>
        <w:pStyle w:val="Tekstpodstawowy2"/>
        <w:numPr>
          <w:ilvl w:val="0"/>
          <w:numId w:val="14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231D1A">
        <w:rPr>
          <w:rFonts w:ascii="Arial" w:hAnsi="Arial" w:cs="Arial"/>
          <w:spacing w:val="0"/>
          <w:sz w:val="24"/>
          <w:szCs w:val="24"/>
        </w:rPr>
        <w:t>Zgłoszenie nieprawidłowości może być dokonane wyłącznie w dobrej wierze. Zakazuje się świadomego składania fałszywych zgłoszeń nieprawidłowości.</w:t>
      </w:r>
    </w:p>
    <w:p w14:paraId="7254685F" w14:textId="77777777" w:rsidR="009A1C65" w:rsidRPr="00231D1A" w:rsidRDefault="009A1C65" w:rsidP="00653C91">
      <w:pPr>
        <w:pStyle w:val="Tekstpodstawowy2"/>
        <w:numPr>
          <w:ilvl w:val="0"/>
          <w:numId w:val="14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231D1A">
        <w:rPr>
          <w:rFonts w:ascii="Arial" w:hAnsi="Arial" w:cs="Arial"/>
          <w:spacing w:val="0"/>
          <w:sz w:val="24"/>
          <w:szCs w:val="24"/>
        </w:rPr>
        <w:t>W przypadku ustalenia w wyniku wstępnej analizy zgłoszenia albo w toku</w:t>
      </w:r>
      <w:r w:rsidR="00085678" w:rsidRPr="00231D1A">
        <w:rPr>
          <w:rFonts w:ascii="Arial" w:hAnsi="Arial" w:cs="Arial"/>
          <w:spacing w:val="0"/>
          <w:sz w:val="24"/>
          <w:szCs w:val="24"/>
        </w:rPr>
        <w:t xml:space="preserve"> postępowania wyjaśniającego, że</w:t>
      </w:r>
      <w:r w:rsidRPr="00231D1A">
        <w:rPr>
          <w:rFonts w:ascii="Arial" w:hAnsi="Arial" w:cs="Arial"/>
          <w:spacing w:val="0"/>
          <w:sz w:val="24"/>
          <w:szCs w:val="24"/>
        </w:rPr>
        <w:t xml:space="preserve"> w zgłoszeniu nieprawidłowości świadomie podano nieprawdę lub zatajono prawdę, zgłaszający będący pracownikiem, może zostać pociągnięty do odpowiedzialności porządkowej określonej w przepisach Kodeksu </w:t>
      </w:r>
      <w:r w:rsidR="00085678" w:rsidRPr="00231D1A">
        <w:rPr>
          <w:rFonts w:ascii="Arial" w:hAnsi="Arial" w:cs="Arial"/>
          <w:spacing w:val="0"/>
          <w:sz w:val="24"/>
          <w:szCs w:val="24"/>
        </w:rPr>
        <w:t>p</w:t>
      </w:r>
      <w:r w:rsidRPr="00231D1A">
        <w:rPr>
          <w:rFonts w:ascii="Arial" w:hAnsi="Arial" w:cs="Arial"/>
          <w:spacing w:val="0"/>
          <w:sz w:val="24"/>
          <w:szCs w:val="24"/>
        </w:rPr>
        <w:t>racy. Zachowanie takie może być również zakwalifikowane jako ciężkie naruszenie podstawowych obowiązków pracowniczych i jako takie skutkować rozwiązaniem umowy o pracę bez wypowiedzenia.</w:t>
      </w:r>
      <w:r w:rsidR="00D24790" w:rsidRPr="00231D1A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2B34ED7D" w14:textId="77777777" w:rsidR="009A1C65" w:rsidRPr="00231D1A" w:rsidRDefault="009A1C65" w:rsidP="00653C91">
      <w:pPr>
        <w:pStyle w:val="Tekstpodstawowy2"/>
        <w:numPr>
          <w:ilvl w:val="0"/>
          <w:numId w:val="14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231D1A">
        <w:rPr>
          <w:rFonts w:ascii="Arial" w:hAnsi="Arial" w:cs="Arial"/>
          <w:sz w:val="24"/>
          <w:szCs w:val="24"/>
        </w:rPr>
        <w:t>Niezależnie od skutków wskazanych w ust. 2 powyżej, zgłaszający świadomie dokonujący fałszywego zgłoszenia nieprawidłowości może zostać pociągnięty do</w:t>
      </w:r>
      <w:r w:rsidR="00171526" w:rsidRPr="00231D1A">
        <w:rPr>
          <w:rFonts w:ascii="Arial" w:hAnsi="Arial" w:cs="Arial"/>
          <w:sz w:val="24"/>
          <w:szCs w:val="24"/>
        </w:rPr>
        <w:t xml:space="preserve"> </w:t>
      </w:r>
      <w:r w:rsidRPr="00231D1A">
        <w:rPr>
          <w:rFonts w:ascii="Arial" w:hAnsi="Arial" w:cs="Arial"/>
          <w:sz w:val="24"/>
          <w:szCs w:val="24"/>
        </w:rPr>
        <w:t>odpowiedzialności karnej, wskazanej w odpowiednich przepisach.</w:t>
      </w:r>
    </w:p>
    <w:p w14:paraId="28879A52" w14:textId="77777777" w:rsidR="000C6B34" w:rsidRPr="00653C91" w:rsidRDefault="000C6B34" w:rsidP="00653C91">
      <w:pPr>
        <w:spacing w:before="0" w:after="60" w:line="360" w:lineRule="auto"/>
        <w:jc w:val="center"/>
        <w:rPr>
          <w:rFonts w:cs="Arial"/>
          <w:szCs w:val="24"/>
        </w:rPr>
      </w:pPr>
    </w:p>
    <w:p w14:paraId="75380152" w14:textId="77777777" w:rsidR="009A1C65" w:rsidRPr="00653C91" w:rsidRDefault="009A1C65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§</w:t>
      </w:r>
      <w:r w:rsidR="000C6B34" w:rsidRPr="00653C91">
        <w:rPr>
          <w:rFonts w:cs="Arial"/>
          <w:b/>
          <w:szCs w:val="24"/>
        </w:rPr>
        <w:t xml:space="preserve"> </w:t>
      </w:r>
      <w:r w:rsidR="005B577E" w:rsidRPr="00653C91">
        <w:rPr>
          <w:rFonts w:cs="Arial"/>
          <w:b/>
          <w:szCs w:val="24"/>
        </w:rPr>
        <w:t>9</w:t>
      </w:r>
    </w:p>
    <w:p w14:paraId="00979636" w14:textId="77777777" w:rsidR="000C6B34" w:rsidRPr="00653C91" w:rsidRDefault="000C6B34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bookmarkStart w:id="5" w:name="bookmark8"/>
      <w:r w:rsidRPr="00653C91">
        <w:rPr>
          <w:rFonts w:cs="Arial"/>
          <w:b/>
          <w:szCs w:val="24"/>
        </w:rPr>
        <w:t>POSTĘPOWANIE WYJAŚNIAJĄCE</w:t>
      </w:r>
      <w:bookmarkEnd w:id="5"/>
    </w:p>
    <w:p w14:paraId="526A4CFD" w14:textId="77777777" w:rsidR="009A1C65" w:rsidRPr="00653C91" w:rsidRDefault="009A1C65" w:rsidP="00653C91">
      <w:pPr>
        <w:pStyle w:val="Tekstpodstawowy2"/>
        <w:numPr>
          <w:ilvl w:val="0"/>
          <w:numId w:val="15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Wyłączny dostęp do kanałów zgłaszania nieprawidłowości w zakresie, w jakim kanały te dotyczą zgłaszania nieprawidłowości, posiada Koordynator ds.</w:t>
      </w:r>
      <w:r w:rsidR="00063D3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zgodności.</w:t>
      </w:r>
    </w:p>
    <w:p w14:paraId="531868AA" w14:textId="77777777" w:rsidR="009A1C65" w:rsidRPr="00653C91" w:rsidRDefault="009A1C65" w:rsidP="00653C91">
      <w:pPr>
        <w:pStyle w:val="Tekstpodstawowy2"/>
        <w:numPr>
          <w:ilvl w:val="0"/>
          <w:numId w:val="15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Każdorazowo po wpłynięciu zgłoszenia nieprawidłowości, Koordynator ds. zgodności, dokonuje niezwłocznie jego wstępnej analizy, a następnie o ile jest to </w:t>
      </w:r>
      <w:r w:rsidR="00673163" w:rsidRPr="00653C91">
        <w:rPr>
          <w:rFonts w:ascii="Arial" w:hAnsi="Arial" w:cs="Arial"/>
          <w:spacing w:val="0"/>
          <w:sz w:val="24"/>
          <w:szCs w:val="24"/>
        </w:rPr>
        <w:t>możliwe, nie później jednak niż</w:t>
      </w:r>
      <w:r w:rsidR="00063D3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w</w:t>
      </w:r>
      <w:r w:rsidR="00063D3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terminie 7 dni, potwierdza przyjęcie zgłoszenia informując o nadaniu lub odmowie nadania statusu sygnalisty.</w:t>
      </w:r>
    </w:p>
    <w:p w14:paraId="6A74367E" w14:textId="77777777" w:rsidR="009A1C65" w:rsidRPr="00653C91" w:rsidRDefault="009A1C65" w:rsidP="00653C91">
      <w:pPr>
        <w:pStyle w:val="Tekstpodstawowy2"/>
        <w:numPr>
          <w:ilvl w:val="0"/>
          <w:numId w:val="15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Jeżeli zgłoszenie jest zakwalifikowane do dalszej weryfikacji, Koordynator ds. zgodności wszczyna postępowanie wyjaśniające, które prowadzi komisja wyjaśniającą, powoływana przez Kierownictwo Sądu. Nadzór nad postępowaniem wyjaśniającym</w:t>
      </w:r>
      <w:r w:rsidR="00D6114E" w:rsidRPr="00653C91">
        <w:rPr>
          <w:rFonts w:ascii="Arial" w:hAnsi="Arial" w:cs="Arial"/>
          <w:spacing w:val="0"/>
          <w:sz w:val="24"/>
          <w:szCs w:val="24"/>
        </w:rPr>
        <w:t>,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 prowadzonym przez komisję wyjaśniającą</w:t>
      </w:r>
      <w:r w:rsidR="00D6114E" w:rsidRPr="00653C91">
        <w:rPr>
          <w:rFonts w:ascii="Arial" w:hAnsi="Arial" w:cs="Arial"/>
          <w:spacing w:val="0"/>
          <w:sz w:val="24"/>
          <w:szCs w:val="24"/>
        </w:rPr>
        <w:t>,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 sprawuje Koordynator ds. zgodności jako jej przewodniczący.</w:t>
      </w:r>
    </w:p>
    <w:p w14:paraId="075B7FD4" w14:textId="77777777" w:rsidR="009A1C65" w:rsidRPr="00653C91" w:rsidRDefault="009A1C65" w:rsidP="00653C91">
      <w:pPr>
        <w:pStyle w:val="Tekstpodstawowy2"/>
        <w:numPr>
          <w:ilvl w:val="0"/>
          <w:numId w:val="15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Rozpatrzenie zgłoszenia nieprawidłowości następuje bez zbędnej zwłoki, w</w:t>
      </w:r>
      <w:r w:rsidR="00171526" w:rsidRPr="00653C9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okresie nie dłuższym niż 2 miesiące od dnia otrzymania zgłoszenia.</w:t>
      </w:r>
    </w:p>
    <w:p w14:paraId="5C43ABC0" w14:textId="77777777" w:rsidR="009A1C65" w:rsidRPr="00653C91" w:rsidRDefault="009A1C65" w:rsidP="00653C91">
      <w:pPr>
        <w:pStyle w:val="Tekstpodstawowy2"/>
        <w:numPr>
          <w:ilvl w:val="0"/>
          <w:numId w:val="15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 xml:space="preserve">Z przeprowadzonego postępowania wyjaśniającego komisja sporządza raport dla Kierownictwa, w którym stwierdza, czy informacje/zarzuty objęte zgłoszeniem, okazały się w ocenie komisji potwierdzone i zasadne. Raport obejmuje także rekomendacje komisji w zakresie załatwienia sprawy oraz ewentualne konsekwencje, jakie powinny </w:t>
      </w:r>
      <w:r w:rsidRPr="00653C91">
        <w:rPr>
          <w:rFonts w:ascii="Arial" w:hAnsi="Arial" w:cs="Arial"/>
          <w:spacing w:val="0"/>
          <w:sz w:val="24"/>
          <w:szCs w:val="24"/>
        </w:rPr>
        <w:lastRenderedPageBreak/>
        <w:t>zostać wyciągnięte przez Sąd w stosunku do sprawcy/sprawców nieprawidłowości albo zgłaszającego, który dokonał świadomie fałszywego zgłoszenia.</w:t>
      </w:r>
    </w:p>
    <w:p w14:paraId="2B20C662" w14:textId="77777777" w:rsidR="009A1C65" w:rsidRDefault="009A1C65" w:rsidP="00653C91">
      <w:pPr>
        <w:pStyle w:val="Tekstpodstawowy2"/>
        <w:widowControl/>
        <w:numPr>
          <w:ilvl w:val="0"/>
          <w:numId w:val="15"/>
        </w:numPr>
        <w:spacing w:before="0" w:after="60" w:line="360" w:lineRule="auto"/>
        <w:ind w:left="284" w:right="23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Koordynator ds.</w:t>
      </w:r>
      <w:r w:rsidR="00653C9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zgodności, o ile jest to możliwe, ma obow</w:t>
      </w:r>
      <w:r w:rsidR="00673163" w:rsidRPr="00653C91">
        <w:rPr>
          <w:rFonts w:ascii="Arial" w:hAnsi="Arial" w:cs="Arial"/>
          <w:spacing w:val="0"/>
          <w:sz w:val="24"/>
          <w:szCs w:val="24"/>
        </w:rPr>
        <w:t>iązek poinformować sygnalistę o </w:t>
      </w:r>
      <w:r w:rsidRPr="00653C91">
        <w:rPr>
          <w:rFonts w:ascii="Arial" w:hAnsi="Arial" w:cs="Arial"/>
          <w:spacing w:val="0"/>
          <w:sz w:val="24"/>
          <w:szCs w:val="24"/>
        </w:rPr>
        <w:t>sposobie rozwiązania zgłoszenia w terminie 3 miesięcy od jego otrzymania, kanałem analogicznym do zgłoszenia.</w:t>
      </w:r>
    </w:p>
    <w:p w14:paraId="23676B14" w14:textId="77777777" w:rsidR="000C6B34" w:rsidRPr="00653C91" w:rsidRDefault="000C6B34" w:rsidP="00653C91">
      <w:pPr>
        <w:spacing w:before="0" w:after="60" w:line="360" w:lineRule="auto"/>
        <w:rPr>
          <w:rFonts w:cs="Arial"/>
          <w:szCs w:val="24"/>
        </w:rPr>
      </w:pPr>
    </w:p>
    <w:p w14:paraId="5183B110" w14:textId="77777777" w:rsidR="009A1C65" w:rsidRPr="00653C91" w:rsidRDefault="009A1C65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§</w:t>
      </w:r>
      <w:r w:rsidR="000C6B34" w:rsidRPr="00653C91">
        <w:rPr>
          <w:rFonts w:cs="Arial"/>
          <w:b/>
          <w:szCs w:val="24"/>
        </w:rPr>
        <w:t xml:space="preserve"> </w:t>
      </w:r>
      <w:r w:rsidR="005B577E" w:rsidRPr="00653C91">
        <w:rPr>
          <w:rFonts w:cs="Arial"/>
          <w:b/>
          <w:szCs w:val="24"/>
        </w:rPr>
        <w:t>10</w:t>
      </w:r>
    </w:p>
    <w:p w14:paraId="442C81A3" w14:textId="77777777" w:rsidR="000C6B34" w:rsidRPr="00653C91" w:rsidRDefault="000C6B34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bookmarkStart w:id="6" w:name="bookmark9"/>
      <w:r w:rsidRPr="00653C91">
        <w:rPr>
          <w:rFonts w:cs="Arial"/>
          <w:b/>
          <w:szCs w:val="24"/>
        </w:rPr>
        <w:t>OCHRONA SYGNALISTY</w:t>
      </w:r>
      <w:bookmarkEnd w:id="6"/>
    </w:p>
    <w:p w14:paraId="7A762759" w14:textId="77777777" w:rsidR="009A1C65" w:rsidRPr="00653C91" w:rsidRDefault="009A1C65" w:rsidP="00653C91">
      <w:pPr>
        <w:pStyle w:val="Tekstpodstawowy2"/>
        <w:numPr>
          <w:ilvl w:val="0"/>
          <w:numId w:val="16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Sąd wprowadza bezwzględny zakaz podejmowania działań odwetowych wobec sygnalisty również w sytuacji, gdy zgłoszenie nieprawidłowości zostało zgłoszone w</w:t>
      </w:r>
      <w:r w:rsidR="00B47467">
        <w:rPr>
          <w:rFonts w:ascii="Arial" w:hAnsi="Arial" w:cs="Arial"/>
          <w:spacing w:val="0"/>
          <w:sz w:val="24"/>
          <w:szCs w:val="24"/>
        </w:rPr>
        <w:t> d</w:t>
      </w:r>
      <w:r w:rsidRPr="00653C91">
        <w:rPr>
          <w:rFonts w:ascii="Arial" w:hAnsi="Arial" w:cs="Arial"/>
          <w:spacing w:val="0"/>
          <w:sz w:val="24"/>
          <w:szCs w:val="24"/>
        </w:rPr>
        <w:t>obrej wierze, a</w:t>
      </w:r>
      <w:r w:rsidR="00A40283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przeprowadzone postępowanie wyjaśniające wykazało, ż</w:t>
      </w:r>
      <w:r w:rsidR="00673163" w:rsidRPr="00653C91">
        <w:rPr>
          <w:rFonts w:ascii="Arial" w:hAnsi="Arial" w:cs="Arial"/>
          <w:spacing w:val="0"/>
          <w:sz w:val="24"/>
          <w:szCs w:val="24"/>
        </w:rPr>
        <w:t>e zgłoszona nieprawidłowość nie</w:t>
      </w:r>
      <w:r w:rsidR="00A40283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miała miejsca.</w:t>
      </w:r>
    </w:p>
    <w:p w14:paraId="21D07912" w14:textId="77777777" w:rsidR="009A1C65" w:rsidRPr="00653C91" w:rsidRDefault="009A1C65" w:rsidP="00653C91">
      <w:pPr>
        <w:pStyle w:val="Tekstpodstawowy2"/>
        <w:numPr>
          <w:ilvl w:val="0"/>
          <w:numId w:val="16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Sygnalistom przysługuje pełna ochrona przed działaniami r</w:t>
      </w:r>
      <w:r w:rsidR="00673163" w:rsidRPr="00653C91">
        <w:rPr>
          <w:rFonts w:ascii="Arial" w:hAnsi="Arial" w:cs="Arial"/>
          <w:spacing w:val="0"/>
          <w:sz w:val="24"/>
          <w:szCs w:val="24"/>
        </w:rPr>
        <w:t>epresyjnymi, dyskryminacją oraz </w:t>
      </w:r>
      <w:r w:rsidRPr="00653C91">
        <w:rPr>
          <w:rFonts w:ascii="Arial" w:hAnsi="Arial" w:cs="Arial"/>
          <w:spacing w:val="0"/>
          <w:sz w:val="24"/>
          <w:szCs w:val="24"/>
        </w:rPr>
        <w:t>innymi rodzajami niesprawiedliwego traktowania.</w:t>
      </w:r>
    </w:p>
    <w:p w14:paraId="55C16534" w14:textId="77777777" w:rsidR="009A1C65" w:rsidRPr="00653C91" w:rsidRDefault="009A1C65" w:rsidP="00653C91">
      <w:pPr>
        <w:pStyle w:val="Tekstpodstawowy2"/>
        <w:numPr>
          <w:ilvl w:val="0"/>
          <w:numId w:val="16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Niedopuszczalnym jest zakończenie stosunku pracy lub rozwiązanie umowy wzajemnej z</w:t>
      </w:r>
      <w:r w:rsidR="00673163" w:rsidRPr="00653C91">
        <w:rPr>
          <w:rFonts w:ascii="Arial" w:hAnsi="Arial" w:cs="Arial"/>
          <w:spacing w:val="0"/>
          <w:sz w:val="24"/>
          <w:szCs w:val="24"/>
        </w:rPr>
        <w:t> </w:t>
      </w:r>
      <w:r w:rsidRPr="00653C91">
        <w:rPr>
          <w:rFonts w:ascii="Arial" w:hAnsi="Arial" w:cs="Arial"/>
          <w:spacing w:val="0"/>
          <w:sz w:val="24"/>
          <w:szCs w:val="24"/>
        </w:rPr>
        <w:t>sygnalistą wyłącznie w związku z dokonanym przez sygnalistę zgłoszeniem nieprawidłowości.</w:t>
      </w:r>
    </w:p>
    <w:p w14:paraId="77546889" w14:textId="77777777" w:rsidR="009A1C65" w:rsidRPr="00653C91" w:rsidRDefault="009A1C65" w:rsidP="00653C91">
      <w:pPr>
        <w:pStyle w:val="Tekstpodstawowy2"/>
        <w:numPr>
          <w:ilvl w:val="0"/>
          <w:numId w:val="16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Ochrona przewidziana w ust. 3 powyżej nie dotyczy sygnalisty, będącego jednocześnie sprawcą/współsprawcą/pomocnikiem nieprawidłowości. Podejmując decyzję</w:t>
      </w:r>
      <w:r w:rsidR="000B54BB">
        <w:rPr>
          <w:rFonts w:ascii="Arial" w:hAnsi="Arial" w:cs="Arial"/>
          <w:spacing w:val="0"/>
          <w:sz w:val="24"/>
          <w:szCs w:val="24"/>
        </w:rPr>
        <w:t xml:space="preserve"> o</w:t>
      </w:r>
      <w:r w:rsidR="00B47467">
        <w:rPr>
          <w:rFonts w:ascii="Arial" w:hAnsi="Arial" w:cs="Arial"/>
          <w:spacing w:val="0"/>
          <w:sz w:val="24"/>
          <w:szCs w:val="24"/>
        </w:rPr>
        <w:t> </w:t>
      </w:r>
      <w:r w:rsidRPr="00653C91">
        <w:rPr>
          <w:rFonts w:ascii="Arial" w:hAnsi="Arial" w:cs="Arial"/>
          <w:spacing w:val="0"/>
          <w:sz w:val="24"/>
          <w:szCs w:val="24"/>
        </w:rPr>
        <w:t>ewentualnym rozwiązaniu stosunku pracy lub umowy wzajemnej z</w:t>
      </w:r>
      <w:r w:rsidR="00171526" w:rsidRPr="00653C9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sygnalistą, będącym sprawcą</w:t>
      </w:r>
      <w:r w:rsidR="00673163" w:rsidRPr="00653C91">
        <w:rPr>
          <w:rFonts w:ascii="Arial" w:hAnsi="Arial" w:cs="Arial"/>
          <w:spacing w:val="0"/>
          <w:sz w:val="24"/>
          <w:szCs w:val="24"/>
        </w:rPr>
        <w:t xml:space="preserve">/ </w:t>
      </w:r>
      <w:r w:rsidRPr="00653C91">
        <w:rPr>
          <w:rFonts w:ascii="Arial" w:hAnsi="Arial" w:cs="Arial"/>
          <w:spacing w:val="0"/>
          <w:sz w:val="24"/>
          <w:szCs w:val="24"/>
        </w:rPr>
        <w:t>/współsprawcą/pomocnikiem nieprawidłowości, Sąd powinien każdorazowo brać pod uwagę fakt ujawnienia przez sygnalistę wszystkich istotnych okoliczności nieprawidłowości (okoliczność łagodząca).</w:t>
      </w:r>
    </w:p>
    <w:p w14:paraId="7C3B3824" w14:textId="77777777" w:rsidR="009A1C65" w:rsidRPr="00653C91" w:rsidRDefault="009A1C65" w:rsidP="00653C91">
      <w:pPr>
        <w:pStyle w:val="Tekstpodstawowy2"/>
        <w:widowControl/>
        <w:numPr>
          <w:ilvl w:val="0"/>
          <w:numId w:val="16"/>
        </w:numPr>
        <w:spacing w:before="0" w:after="60" w:line="360" w:lineRule="auto"/>
        <w:ind w:left="284" w:right="23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Wszystkie zgłoszenia nieprawidłowości, kontakty ze zgłaszającym i sygnalistą oraz postępowanie wyjaśniające mają charakter tajemnicy Sądu.</w:t>
      </w:r>
    </w:p>
    <w:p w14:paraId="06E5BE55" w14:textId="77777777" w:rsidR="009A1C65" w:rsidRPr="00653C91" w:rsidRDefault="009A1C65" w:rsidP="00653C91">
      <w:pPr>
        <w:pStyle w:val="Tekstpodstawowy2"/>
        <w:numPr>
          <w:ilvl w:val="0"/>
          <w:numId w:val="16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Zachowanie poufności ma na celu zagwarantowanie poczucia bezpieczeństwa sygnalistom oraz minimalizację ryzyka wystąpienia działań odwetowych lub represyjnych.</w:t>
      </w:r>
    </w:p>
    <w:p w14:paraId="36C38318" w14:textId="77777777" w:rsidR="009A1C65" w:rsidRPr="00653C91" w:rsidRDefault="009A1C65" w:rsidP="00653C91">
      <w:pPr>
        <w:pStyle w:val="Tekstpodstawowy2"/>
        <w:numPr>
          <w:ilvl w:val="0"/>
          <w:numId w:val="16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Tożsamość zgłaszającego i sygnalisty, jak również wszystkie informacje umożliwiające jego identyfikację, są traktowane jako tajemnica Sądu na</w:t>
      </w:r>
      <w:r w:rsidR="00D371D7" w:rsidRPr="00653C9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wszystkich etapach procesu rozpatrywania </w:t>
      </w:r>
      <w:r w:rsidR="00D371D7" w:rsidRPr="00653C91">
        <w:rPr>
          <w:rFonts w:ascii="Arial" w:hAnsi="Arial" w:cs="Arial"/>
          <w:spacing w:val="0"/>
          <w:sz w:val="24"/>
          <w:szCs w:val="24"/>
        </w:rPr>
        <w:t xml:space="preserve">zgłoszonych nieprawidłowości. W </w:t>
      </w:r>
      <w:r w:rsidRPr="00653C91">
        <w:rPr>
          <w:rFonts w:ascii="Arial" w:hAnsi="Arial" w:cs="Arial"/>
          <w:spacing w:val="0"/>
          <w:sz w:val="24"/>
          <w:szCs w:val="24"/>
        </w:rPr>
        <w:t>szczególności, z zastrzeżeniem ust. 8 poniżej, tożsamość zgłaszającego i</w:t>
      </w:r>
      <w:r w:rsidR="00D371D7" w:rsidRPr="00653C9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sygnalisty nie będzie ujawniana podmiotom, których dotyczy zgłoszenie nieprawidłowości, osobom trzecim ani innym pracownikom i</w:t>
      </w:r>
      <w:r w:rsidR="00B47467">
        <w:rPr>
          <w:rFonts w:ascii="Arial" w:hAnsi="Arial" w:cs="Arial"/>
          <w:spacing w:val="0"/>
          <w:sz w:val="24"/>
          <w:szCs w:val="24"/>
        </w:rPr>
        <w:t> </w:t>
      </w:r>
      <w:r w:rsidR="00D371D7" w:rsidRPr="00653C91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współpracownikom Sądu.</w:t>
      </w:r>
    </w:p>
    <w:p w14:paraId="0588FCC0" w14:textId="77777777" w:rsidR="009A1C65" w:rsidRPr="00653C91" w:rsidRDefault="009A1C65" w:rsidP="00653C91">
      <w:pPr>
        <w:pStyle w:val="Tekstpodstawowy2"/>
        <w:numPr>
          <w:ilvl w:val="0"/>
          <w:numId w:val="16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lastRenderedPageBreak/>
        <w:t>Tożsamość sygnalisty, jak również inne informacje umożliwiające jego identyfikację</w:t>
      </w:r>
      <w:r w:rsidR="00D6114E" w:rsidRPr="00653C91">
        <w:rPr>
          <w:rFonts w:ascii="Arial" w:hAnsi="Arial" w:cs="Arial"/>
          <w:spacing w:val="0"/>
          <w:sz w:val="24"/>
          <w:szCs w:val="24"/>
        </w:rPr>
        <w:t>,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 mogą zostać ujawnione jedynie wtedy, gdy takie ujawnienie jest</w:t>
      </w:r>
      <w:r w:rsidR="00673163" w:rsidRPr="00653C91">
        <w:rPr>
          <w:rFonts w:ascii="Arial" w:hAnsi="Arial" w:cs="Arial"/>
          <w:spacing w:val="0"/>
          <w:sz w:val="24"/>
          <w:szCs w:val="24"/>
        </w:rPr>
        <w:t xml:space="preserve"> obowiązkiem Sądu wynikającym z</w:t>
      </w:r>
      <w:r w:rsidR="00A40283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powszechnie obowiązujących przepisów prawa w kontekście prowadzonych postępowań przez stosowne organy. Ujawnienie tożsamości w takim przypadku wymaga wcześniejszego poinformowania </w:t>
      </w:r>
      <w:r w:rsidR="00D6114E" w:rsidRPr="00653C91">
        <w:rPr>
          <w:rFonts w:ascii="Arial" w:hAnsi="Arial" w:cs="Arial"/>
          <w:spacing w:val="0"/>
          <w:sz w:val="24"/>
          <w:szCs w:val="24"/>
        </w:rPr>
        <w:t>s</w:t>
      </w:r>
      <w:r w:rsidRPr="00653C91">
        <w:rPr>
          <w:rFonts w:ascii="Arial" w:hAnsi="Arial" w:cs="Arial"/>
          <w:spacing w:val="0"/>
          <w:sz w:val="24"/>
          <w:szCs w:val="24"/>
        </w:rPr>
        <w:t>ygnalisty, ze wskazaniem mu powodów takiego ujawnienia, chyba że takie poinformowanie mogłoby zagrozić prowadzonemu postępowaniu.</w:t>
      </w:r>
    </w:p>
    <w:p w14:paraId="7354FABC" w14:textId="77777777" w:rsidR="009A1C65" w:rsidRPr="00653C91" w:rsidRDefault="009A1C65" w:rsidP="00653C91">
      <w:pPr>
        <w:pStyle w:val="Tekstpodstawowy2"/>
        <w:numPr>
          <w:ilvl w:val="0"/>
          <w:numId w:val="16"/>
        </w:numPr>
        <w:spacing w:before="0" w:after="60" w:line="360" w:lineRule="auto"/>
        <w:ind w:left="284" w:right="2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Tożsamość osób, których dotyczy zgłoszenie nieprawidłowości, podlega wymogom zachowania poufności w analogicznym zakresie, co tożsamość zgłaszającego i</w:t>
      </w:r>
      <w:r w:rsidR="00B47467">
        <w:rPr>
          <w:rFonts w:ascii="Arial" w:hAnsi="Arial" w:cs="Arial"/>
          <w:spacing w:val="0"/>
          <w:sz w:val="24"/>
          <w:szCs w:val="24"/>
        </w:rPr>
        <w:t> </w:t>
      </w:r>
      <w:r w:rsidRPr="00653C91">
        <w:rPr>
          <w:rFonts w:ascii="Arial" w:hAnsi="Arial" w:cs="Arial"/>
          <w:spacing w:val="0"/>
          <w:sz w:val="24"/>
          <w:szCs w:val="24"/>
        </w:rPr>
        <w:t xml:space="preserve"> sygnalisty.</w:t>
      </w:r>
    </w:p>
    <w:p w14:paraId="1E23E5DA" w14:textId="77777777" w:rsidR="009A1C65" w:rsidRPr="00653C91" w:rsidRDefault="009A1C65" w:rsidP="00653C91">
      <w:pPr>
        <w:pStyle w:val="Tekstpodstawowy2"/>
        <w:numPr>
          <w:ilvl w:val="0"/>
          <w:numId w:val="16"/>
        </w:numPr>
        <w:spacing w:before="0" w:after="60" w:line="360" w:lineRule="auto"/>
        <w:ind w:left="426" w:right="20" w:hanging="426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Przetwarzanie danych osobowych sygnalisty odbywa się na podstawie przepisów rozporządzenia Parlamentu Europejskiego i Rady (UE) 2016/6</w:t>
      </w:r>
      <w:r w:rsidR="00673163" w:rsidRPr="00653C91">
        <w:rPr>
          <w:rFonts w:ascii="Arial" w:hAnsi="Arial" w:cs="Arial"/>
          <w:spacing w:val="0"/>
          <w:sz w:val="24"/>
          <w:szCs w:val="24"/>
        </w:rPr>
        <w:t>79 z dnia 27 kwietnia 2016r. w</w:t>
      </w:r>
      <w:r w:rsidR="00A40283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sprawie ochrony osób fizycznych w związku z przetwarzaniem danych osobowych i w sprawie swobodnego przepływu takich danych oraz uchylenia dyrektywy 95/46/WE (RODO).</w:t>
      </w:r>
    </w:p>
    <w:p w14:paraId="623590DE" w14:textId="77777777" w:rsidR="009A1C65" w:rsidRPr="00653C91" w:rsidRDefault="009A1C65" w:rsidP="00653C91">
      <w:pPr>
        <w:pStyle w:val="Tekstpodstawowy2"/>
        <w:numPr>
          <w:ilvl w:val="0"/>
          <w:numId w:val="16"/>
        </w:numPr>
        <w:spacing w:before="0" w:after="60" w:line="360" w:lineRule="auto"/>
        <w:ind w:left="426" w:right="20" w:hanging="426"/>
        <w:jc w:val="both"/>
        <w:rPr>
          <w:rFonts w:ascii="Arial" w:hAnsi="Arial" w:cs="Arial"/>
          <w:spacing w:val="0"/>
          <w:sz w:val="24"/>
          <w:szCs w:val="24"/>
        </w:rPr>
      </w:pPr>
      <w:r w:rsidRPr="00653C91">
        <w:rPr>
          <w:rFonts w:ascii="Arial" w:hAnsi="Arial" w:cs="Arial"/>
          <w:spacing w:val="0"/>
          <w:sz w:val="24"/>
          <w:szCs w:val="24"/>
        </w:rPr>
        <w:t>Niezależnie od możliwości dokonania zgłoszenia z wykorzystaniem zasad określonych w</w:t>
      </w:r>
      <w:r w:rsidR="00673163" w:rsidRPr="00653C91">
        <w:rPr>
          <w:rFonts w:ascii="Arial" w:hAnsi="Arial" w:cs="Arial"/>
          <w:spacing w:val="0"/>
          <w:sz w:val="24"/>
          <w:szCs w:val="24"/>
        </w:rPr>
        <w:t> </w:t>
      </w:r>
      <w:r w:rsidRPr="00653C91">
        <w:rPr>
          <w:rFonts w:ascii="Arial" w:hAnsi="Arial" w:cs="Arial"/>
          <w:spacing w:val="0"/>
          <w:sz w:val="24"/>
          <w:szCs w:val="24"/>
        </w:rPr>
        <w:t>przedmiotowej procedurze, zgłaszający może dokonać zgłoszenia zewnętrznego do organów centralnych i organów publicznych. Zasady i tryb dokonania takiego zgłoszenia są określone w stosownych przepisach prawa.</w:t>
      </w:r>
    </w:p>
    <w:p w14:paraId="3C038916" w14:textId="77777777" w:rsidR="000C6B34" w:rsidRPr="00653C91" w:rsidRDefault="000C6B34" w:rsidP="00653C91">
      <w:pPr>
        <w:spacing w:before="0" w:after="60" w:line="360" w:lineRule="auto"/>
        <w:rPr>
          <w:rFonts w:cs="Arial"/>
          <w:szCs w:val="24"/>
        </w:rPr>
      </w:pPr>
    </w:p>
    <w:p w14:paraId="6EAEF52B" w14:textId="77777777" w:rsidR="009A1C65" w:rsidRPr="00653C91" w:rsidRDefault="009A1C65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r w:rsidRPr="00653C91">
        <w:rPr>
          <w:rFonts w:cs="Arial"/>
          <w:b/>
          <w:szCs w:val="24"/>
        </w:rPr>
        <w:t>§11</w:t>
      </w:r>
    </w:p>
    <w:p w14:paraId="49006D34" w14:textId="77777777" w:rsidR="000C6B34" w:rsidRPr="00653C91" w:rsidRDefault="000C6B34" w:rsidP="00653C91">
      <w:pPr>
        <w:spacing w:before="0" w:after="60" w:line="360" w:lineRule="auto"/>
        <w:jc w:val="center"/>
        <w:rPr>
          <w:rFonts w:cs="Arial"/>
          <w:b/>
          <w:szCs w:val="24"/>
        </w:rPr>
      </w:pPr>
      <w:bookmarkStart w:id="7" w:name="bookmark11"/>
      <w:r w:rsidRPr="00653C91">
        <w:rPr>
          <w:rFonts w:cs="Arial"/>
          <w:b/>
          <w:szCs w:val="24"/>
        </w:rPr>
        <w:t>POSTANOWIENIA KOŃCOWE</w:t>
      </w:r>
      <w:bookmarkEnd w:id="7"/>
    </w:p>
    <w:p w14:paraId="306A4406" w14:textId="77777777" w:rsidR="009A1C65" w:rsidRPr="00B47467" w:rsidRDefault="009A1C65" w:rsidP="00A40283">
      <w:pPr>
        <w:pStyle w:val="Tekstpodstawowy2"/>
        <w:spacing w:before="0" w:after="60" w:line="360" w:lineRule="auto"/>
        <w:ind w:left="426" w:right="2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653C91">
        <w:rPr>
          <w:rFonts w:ascii="Arial" w:hAnsi="Arial" w:cs="Arial"/>
          <w:spacing w:val="0"/>
          <w:sz w:val="24"/>
          <w:szCs w:val="24"/>
        </w:rPr>
        <w:t>Koordynator ds.zgodności przynajmniej raz do roku będzie dokonywał przeglądu procedury i</w:t>
      </w:r>
      <w:r w:rsidR="00A40283">
        <w:rPr>
          <w:rFonts w:ascii="Arial" w:hAnsi="Arial" w:cs="Arial"/>
          <w:spacing w:val="0"/>
          <w:sz w:val="24"/>
          <w:szCs w:val="24"/>
        </w:rPr>
        <w:t xml:space="preserve"> </w:t>
      </w:r>
      <w:r w:rsidR="00C650D6" w:rsidRPr="00653C91">
        <w:rPr>
          <w:rFonts w:ascii="Arial" w:hAnsi="Arial" w:cs="Arial"/>
          <w:spacing w:val="0"/>
          <w:sz w:val="24"/>
          <w:szCs w:val="24"/>
        </w:rPr>
        <w:t>w</w:t>
      </w:r>
      <w:r w:rsidR="00A40283">
        <w:rPr>
          <w:rFonts w:ascii="Arial" w:hAnsi="Arial" w:cs="Arial"/>
          <w:spacing w:val="0"/>
          <w:sz w:val="24"/>
          <w:szCs w:val="24"/>
        </w:rPr>
        <w:t xml:space="preserve"> </w:t>
      </w:r>
      <w:r w:rsidRPr="00653C91">
        <w:rPr>
          <w:rFonts w:ascii="Arial" w:hAnsi="Arial" w:cs="Arial"/>
          <w:spacing w:val="0"/>
          <w:sz w:val="24"/>
          <w:szCs w:val="24"/>
        </w:rPr>
        <w:t>razie potrzeby opracowywał projekty jej zmia</w:t>
      </w:r>
      <w:r w:rsidRPr="00653C91">
        <w:rPr>
          <w:rFonts w:ascii="Arial" w:hAnsi="Arial" w:cs="Arial"/>
          <w:spacing w:val="0"/>
          <w:sz w:val="22"/>
          <w:szCs w:val="22"/>
        </w:rPr>
        <w:t xml:space="preserve">n </w:t>
      </w:r>
      <w:r w:rsidR="00C650D6" w:rsidRPr="00653C91">
        <w:rPr>
          <w:rFonts w:ascii="Arial" w:hAnsi="Arial" w:cs="Arial"/>
          <w:spacing w:val="0"/>
          <w:sz w:val="22"/>
          <w:szCs w:val="22"/>
        </w:rPr>
        <w:t>do akceptacji Kierownictwa Sądu</w:t>
      </w:r>
      <w:r w:rsidR="00A428C2" w:rsidRPr="00653C91">
        <w:rPr>
          <w:rFonts w:ascii="Arial" w:hAnsi="Arial" w:cs="Arial"/>
          <w:spacing w:val="0"/>
          <w:sz w:val="22"/>
          <w:szCs w:val="22"/>
        </w:rPr>
        <w:t>.</w:t>
      </w:r>
    </w:p>
    <w:sectPr w:rsidR="009A1C65" w:rsidRPr="00B47467" w:rsidSect="005B577E">
      <w:footerReference w:type="default" r:id="rId8"/>
      <w:pgSz w:w="11906" w:h="16838" w:code="9"/>
      <w:pgMar w:top="1134" w:right="1134" w:bottom="851" w:left="1134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4DA2" w14:textId="77777777" w:rsidR="00520EC4" w:rsidRDefault="00520EC4">
      <w:r>
        <w:separator/>
      </w:r>
    </w:p>
  </w:endnote>
  <w:endnote w:type="continuationSeparator" w:id="0">
    <w:p w14:paraId="41A581DA" w14:textId="77777777" w:rsidR="00520EC4" w:rsidRDefault="0052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0383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0A68753" w14:textId="77777777" w:rsidR="00EF21AA" w:rsidRPr="00EF21AA" w:rsidRDefault="00EF21AA" w:rsidP="00EF21AA">
        <w:pPr>
          <w:pStyle w:val="Stopka"/>
          <w:spacing w:before="0" w:line="240" w:lineRule="auto"/>
          <w:jc w:val="center"/>
          <w:rPr>
            <w:sz w:val="20"/>
          </w:rPr>
        </w:pPr>
        <w:r w:rsidRPr="00EF21AA">
          <w:rPr>
            <w:sz w:val="20"/>
          </w:rPr>
          <w:fldChar w:fldCharType="begin"/>
        </w:r>
        <w:r w:rsidRPr="00EF21AA">
          <w:rPr>
            <w:sz w:val="20"/>
          </w:rPr>
          <w:instrText>PAGE   \* MERGEFORMAT</w:instrText>
        </w:r>
        <w:r w:rsidRPr="00EF21AA">
          <w:rPr>
            <w:sz w:val="20"/>
          </w:rPr>
          <w:fldChar w:fldCharType="separate"/>
        </w:r>
        <w:r w:rsidR="00BD0257">
          <w:rPr>
            <w:noProof/>
            <w:sz w:val="20"/>
          </w:rPr>
          <w:t>6</w:t>
        </w:r>
        <w:r w:rsidRPr="00EF21A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1E74" w14:textId="77777777" w:rsidR="00520EC4" w:rsidRDefault="00520EC4">
      <w:r>
        <w:separator/>
      </w:r>
    </w:p>
  </w:footnote>
  <w:footnote w:type="continuationSeparator" w:id="0">
    <w:p w14:paraId="1F0AF498" w14:textId="77777777" w:rsidR="00520EC4" w:rsidRDefault="0052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)"/>
      <w:lvlJc w:val="left"/>
      <w:pPr>
        <w:tabs>
          <w:tab w:val="num" w:pos="852"/>
        </w:tabs>
        <w:ind w:left="1572" w:hanging="360"/>
      </w:p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292" w:hanging="360"/>
      </w:pPr>
    </w:lvl>
    <w:lvl w:ilvl="2">
      <w:start w:val="1"/>
      <w:numFmt w:val="lowerRoman"/>
      <w:lvlText w:val="%2.%3."/>
      <w:lvlJc w:val="right"/>
      <w:pPr>
        <w:tabs>
          <w:tab w:val="num" w:pos="85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85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852"/>
        </w:tabs>
        <w:ind w:left="4452" w:hanging="360"/>
      </w:pPr>
    </w:lvl>
    <w:lvl w:ilvl="5">
      <w:start w:val="1"/>
      <w:numFmt w:val="lowerRoman"/>
      <w:lvlText w:val="%2.%3.%4.%5.%6."/>
      <w:lvlJc w:val="right"/>
      <w:pPr>
        <w:tabs>
          <w:tab w:val="num" w:pos="85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85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52"/>
        </w:tabs>
        <w:ind w:left="66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52"/>
        </w:tabs>
        <w:ind w:left="7332" w:hanging="180"/>
      </w:pPr>
    </w:lvl>
  </w:abstractNum>
  <w:abstractNum w:abstractNumId="3" w15:restartNumberingAfterBreak="0">
    <w:nsid w:val="00000006"/>
    <w:multiLevelType w:val="multilevel"/>
    <w:tmpl w:val="879E5430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15"/>
    <w:multiLevelType w:val="multilevel"/>
    <w:tmpl w:val="F7F4E588"/>
    <w:name w:val="WWNum8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17276201"/>
    <w:multiLevelType w:val="hybridMultilevel"/>
    <w:tmpl w:val="06BA4F1E"/>
    <w:name w:val="WWNum822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65E0"/>
    <w:multiLevelType w:val="hybridMultilevel"/>
    <w:tmpl w:val="94EA3B8A"/>
    <w:name w:val="WWNum8223223"/>
    <w:lvl w:ilvl="0" w:tplc="8544EB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C11E3"/>
    <w:multiLevelType w:val="hybridMultilevel"/>
    <w:tmpl w:val="D9228132"/>
    <w:name w:val="WWNum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A79FB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175323F"/>
    <w:multiLevelType w:val="hybridMultilevel"/>
    <w:tmpl w:val="80468848"/>
    <w:name w:val="WWNum82232222"/>
    <w:lvl w:ilvl="0" w:tplc="95B4AF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55FF"/>
    <w:multiLevelType w:val="hybridMultilevel"/>
    <w:tmpl w:val="5B460C4A"/>
    <w:lvl w:ilvl="0" w:tplc="712C1094">
      <w:start w:val="1"/>
      <w:numFmt w:val="decimal"/>
      <w:lvlText w:val="%1)"/>
      <w:lvlJc w:val="left"/>
      <w:pPr>
        <w:ind w:left="720" w:hanging="360"/>
      </w:pPr>
      <w:rPr>
        <w:rFonts w:eastAsia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23D1"/>
    <w:multiLevelType w:val="hybridMultilevel"/>
    <w:tmpl w:val="7518AA3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F0F15C8"/>
    <w:multiLevelType w:val="hybridMultilevel"/>
    <w:tmpl w:val="62F6CE14"/>
    <w:name w:val="WWNum8223222"/>
    <w:lvl w:ilvl="0" w:tplc="4E8CCD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42E11"/>
    <w:multiLevelType w:val="hybridMultilevel"/>
    <w:tmpl w:val="9106FA50"/>
    <w:name w:val="WWNum822322"/>
    <w:lvl w:ilvl="0" w:tplc="7DD8259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42D0E"/>
    <w:multiLevelType w:val="hybridMultilevel"/>
    <w:tmpl w:val="3F923E1A"/>
    <w:name w:val="WWNum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F0ED0"/>
    <w:multiLevelType w:val="multilevel"/>
    <w:tmpl w:val="0554A2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6D75084"/>
    <w:multiLevelType w:val="hybridMultilevel"/>
    <w:tmpl w:val="446AF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139CD"/>
    <w:multiLevelType w:val="hybridMultilevel"/>
    <w:tmpl w:val="4FC6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A7455A"/>
    <w:multiLevelType w:val="hybridMultilevel"/>
    <w:tmpl w:val="5B36BCD4"/>
    <w:lvl w:ilvl="0" w:tplc="88E410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1168C2"/>
    <w:multiLevelType w:val="hybridMultilevel"/>
    <w:tmpl w:val="EFE48D3A"/>
    <w:name w:val="WWNum8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8"/>
  </w:num>
  <w:num w:numId="8">
    <w:abstractNumId w:val="17"/>
  </w:num>
  <w:num w:numId="9">
    <w:abstractNumId w:val="15"/>
  </w:num>
  <w:num w:numId="10">
    <w:abstractNumId w:val="14"/>
  </w:num>
  <w:num w:numId="11">
    <w:abstractNumId w:val="16"/>
  </w:num>
  <w:num w:numId="12">
    <w:abstractNumId w:val="7"/>
  </w:num>
  <w:num w:numId="13">
    <w:abstractNumId w:val="19"/>
  </w:num>
  <w:num w:numId="14">
    <w:abstractNumId w:val="13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65"/>
    <w:rsid w:val="000079E1"/>
    <w:rsid w:val="00063D31"/>
    <w:rsid w:val="00085678"/>
    <w:rsid w:val="000B54BB"/>
    <w:rsid w:val="000C6B34"/>
    <w:rsid w:val="0011267F"/>
    <w:rsid w:val="00163D92"/>
    <w:rsid w:val="00171526"/>
    <w:rsid w:val="00177FD8"/>
    <w:rsid w:val="001C043B"/>
    <w:rsid w:val="00231D1A"/>
    <w:rsid w:val="002529AB"/>
    <w:rsid w:val="002B5035"/>
    <w:rsid w:val="002F4689"/>
    <w:rsid w:val="00312568"/>
    <w:rsid w:val="00323355"/>
    <w:rsid w:val="003E51A3"/>
    <w:rsid w:val="00407DC8"/>
    <w:rsid w:val="00457C7D"/>
    <w:rsid w:val="004961A5"/>
    <w:rsid w:val="004B044D"/>
    <w:rsid w:val="004B34D4"/>
    <w:rsid w:val="004F04BD"/>
    <w:rsid w:val="00520EC4"/>
    <w:rsid w:val="00536B09"/>
    <w:rsid w:val="005574A5"/>
    <w:rsid w:val="005670EC"/>
    <w:rsid w:val="005B577E"/>
    <w:rsid w:val="00625427"/>
    <w:rsid w:val="00647F4A"/>
    <w:rsid w:val="00653C91"/>
    <w:rsid w:val="00673163"/>
    <w:rsid w:val="00695552"/>
    <w:rsid w:val="006A20E1"/>
    <w:rsid w:val="006A512D"/>
    <w:rsid w:val="006B049E"/>
    <w:rsid w:val="00714CBE"/>
    <w:rsid w:val="0075776D"/>
    <w:rsid w:val="00761478"/>
    <w:rsid w:val="007662C9"/>
    <w:rsid w:val="007672D3"/>
    <w:rsid w:val="007A437D"/>
    <w:rsid w:val="007D2667"/>
    <w:rsid w:val="0080094C"/>
    <w:rsid w:val="00800DF1"/>
    <w:rsid w:val="00874033"/>
    <w:rsid w:val="00890CF5"/>
    <w:rsid w:val="008B4150"/>
    <w:rsid w:val="008C4EAF"/>
    <w:rsid w:val="008C69AD"/>
    <w:rsid w:val="008D0621"/>
    <w:rsid w:val="009048E9"/>
    <w:rsid w:val="009060CD"/>
    <w:rsid w:val="009876ED"/>
    <w:rsid w:val="009A1C65"/>
    <w:rsid w:val="009E5681"/>
    <w:rsid w:val="00A152F3"/>
    <w:rsid w:val="00A40283"/>
    <w:rsid w:val="00A40F5F"/>
    <w:rsid w:val="00A428C2"/>
    <w:rsid w:val="00A87753"/>
    <w:rsid w:val="00AA0B9C"/>
    <w:rsid w:val="00AC1523"/>
    <w:rsid w:val="00B01287"/>
    <w:rsid w:val="00B4033B"/>
    <w:rsid w:val="00B47467"/>
    <w:rsid w:val="00B546E7"/>
    <w:rsid w:val="00B757CE"/>
    <w:rsid w:val="00BD0257"/>
    <w:rsid w:val="00BE394E"/>
    <w:rsid w:val="00C0598D"/>
    <w:rsid w:val="00C650D6"/>
    <w:rsid w:val="00C805E7"/>
    <w:rsid w:val="00CA634E"/>
    <w:rsid w:val="00CD2B55"/>
    <w:rsid w:val="00D0132E"/>
    <w:rsid w:val="00D24790"/>
    <w:rsid w:val="00D24FA3"/>
    <w:rsid w:val="00D371D7"/>
    <w:rsid w:val="00D6114E"/>
    <w:rsid w:val="00D86B50"/>
    <w:rsid w:val="00DA1662"/>
    <w:rsid w:val="00DF17F6"/>
    <w:rsid w:val="00E05DE5"/>
    <w:rsid w:val="00E10649"/>
    <w:rsid w:val="00E66FF7"/>
    <w:rsid w:val="00E67D65"/>
    <w:rsid w:val="00E73CE9"/>
    <w:rsid w:val="00E77A85"/>
    <w:rsid w:val="00EB6059"/>
    <w:rsid w:val="00EB6512"/>
    <w:rsid w:val="00EF21AA"/>
    <w:rsid w:val="00FB1CA0"/>
    <w:rsid w:val="00FB3753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F89FA"/>
  <w15:chartTrackingRefBased/>
  <w15:docId w15:val="{60DD272C-4650-4F9A-994B-6DA76E0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F5F"/>
    <w:pPr>
      <w:spacing w:before="2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EA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7A85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71D7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Spacing2pt">
    <w:name w:val="Body text + Spacing 2 pt"/>
    <w:rsid w:val="009A1C65"/>
    <w:rPr>
      <w:rFonts w:ascii="Segoe UI" w:eastAsia="Segoe UI" w:hAnsi="Segoe UI" w:cs="Segoe UI"/>
      <w:color w:val="000000"/>
      <w:spacing w:val="5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BodytextBoldSpacing0pt">
    <w:name w:val="Body text + Bold;Spacing 0 pt"/>
    <w:rsid w:val="009A1C65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Heading2">
    <w:name w:val="Heading #2"/>
    <w:rsid w:val="009A1C65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customStyle="1" w:styleId="Akapitzlist1">
    <w:name w:val="Akapit z listą1"/>
    <w:basedOn w:val="Normalny"/>
    <w:rsid w:val="009A1C65"/>
    <w:pPr>
      <w:suppressAutoHyphens/>
      <w:spacing w:line="100" w:lineRule="atLeast"/>
      <w:ind w:left="720"/>
    </w:pPr>
    <w:rPr>
      <w:szCs w:val="24"/>
      <w:lang w:eastAsia="ar-SA"/>
    </w:rPr>
  </w:style>
  <w:style w:type="paragraph" w:styleId="Nagwek">
    <w:name w:val="header"/>
    <w:basedOn w:val="Normalny"/>
    <w:link w:val="NagwekZnak"/>
    <w:rsid w:val="009A1C65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szCs w:val="24"/>
      <w:lang w:eastAsia="ar-SA"/>
    </w:rPr>
  </w:style>
  <w:style w:type="character" w:customStyle="1" w:styleId="NagwekZnak">
    <w:name w:val="Nagłówek Znak"/>
    <w:link w:val="Nagwek"/>
    <w:rsid w:val="009A1C65"/>
    <w:rPr>
      <w:sz w:val="24"/>
      <w:szCs w:val="24"/>
      <w:lang w:eastAsia="ar-SA"/>
    </w:rPr>
  </w:style>
  <w:style w:type="paragraph" w:customStyle="1" w:styleId="Bodytext3">
    <w:name w:val="Body text (3)"/>
    <w:basedOn w:val="Normalny"/>
    <w:rsid w:val="009A1C65"/>
    <w:pPr>
      <w:widowControl w:val="0"/>
      <w:shd w:val="clear" w:color="auto" w:fill="FFFFFF"/>
      <w:suppressAutoHyphens/>
      <w:spacing w:before="2640" w:line="562" w:lineRule="exact"/>
      <w:jc w:val="center"/>
    </w:pPr>
    <w:rPr>
      <w:rFonts w:ascii="Arial Narrow" w:eastAsia="Arial Narrow" w:hAnsi="Arial Narrow" w:cs="Arial Narrow"/>
      <w:b/>
      <w:bCs/>
      <w:sz w:val="40"/>
      <w:szCs w:val="40"/>
      <w:lang w:eastAsia="ar-SA"/>
    </w:rPr>
  </w:style>
  <w:style w:type="paragraph" w:customStyle="1" w:styleId="Heading1">
    <w:name w:val="Heading #1"/>
    <w:basedOn w:val="Normalny"/>
    <w:rsid w:val="009A1C65"/>
    <w:pPr>
      <w:widowControl w:val="0"/>
      <w:shd w:val="clear" w:color="auto" w:fill="FFFFFF"/>
      <w:suppressAutoHyphens/>
      <w:spacing w:after="240" w:line="0" w:lineRule="atLeast"/>
      <w:jc w:val="center"/>
    </w:pPr>
    <w:rPr>
      <w:rFonts w:ascii="Segoe UI" w:eastAsia="Segoe UI" w:hAnsi="Segoe UI" w:cs="Segoe UI"/>
      <w:b/>
      <w:bCs/>
      <w:sz w:val="20"/>
      <w:lang w:eastAsia="ar-SA"/>
    </w:rPr>
  </w:style>
  <w:style w:type="paragraph" w:customStyle="1" w:styleId="Tekstpodstawowy2">
    <w:name w:val="Tekst podstawowy2"/>
    <w:basedOn w:val="Normalny"/>
    <w:rsid w:val="009A1C65"/>
    <w:pPr>
      <w:widowControl w:val="0"/>
      <w:shd w:val="clear" w:color="auto" w:fill="FFFFFF"/>
      <w:suppressAutoHyphens/>
      <w:spacing w:after="420" w:line="0" w:lineRule="atLeast"/>
      <w:ind w:hanging="840"/>
      <w:jc w:val="center"/>
    </w:pPr>
    <w:rPr>
      <w:rFonts w:ascii="Segoe UI" w:eastAsia="Segoe UI" w:hAnsi="Segoe UI" w:cs="Segoe UI"/>
      <w:spacing w:val="10"/>
      <w:sz w:val="20"/>
      <w:lang w:eastAsia="ar-SA"/>
    </w:rPr>
  </w:style>
  <w:style w:type="paragraph" w:customStyle="1" w:styleId="Bodytext4">
    <w:name w:val="Body text (4)"/>
    <w:basedOn w:val="Normalny"/>
    <w:rsid w:val="009A1C65"/>
    <w:pPr>
      <w:widowControl w:val="0"/>
      <w:shd w:val="clear" w:color="auto" w:fill="FFFFFF"/>
      <w:suppressAutoHyphens/>
      <w:spacing w:after="420" w:line="0" w:lineRule="atLeast"/>
      <w:jc w:val="center"/>
    </w:pPr>
    <w:rPr>
      <w:rFonts w:ascii="Segoe UI" w:eastAsia="Segoe UI" w:hAnsi="Segoe UI" w:cs="Segoe UI"/>
      <w:b/>
      <w:bCs/>
      <w:sz w:val="20"/>
      <w:lang w:eastAsia="ar-SA"/>
    </w:rPr>
  </w:style>
  <w:style w:type="paragraph" w:customStyle="1" w:styleId="Bodytext5">
    <w:name w:val="Body text (5)"/>
    <w:basedOn w:val="Normalny"/>
    <w:rsid w:val="009A1C65"/>
    <w:pPr>
      <w:widowControl w:val="0"/>
      <w:shd w:val="clear" w:color="auto" w:fill="FFFFFF"/>
      <w:suppressAutoHyphens/>
      <w:spacing w:after="1860" w:line="0" w:lineRule="atLeast"/>
    </w:pPr>
    <w:rPr>
      <w:rFonts w:ascii="Corbel" w:eastAsia="Corbel" w:hAnsi="Corbel" w:cs="Corbel"/>
      <w:i/>
      <w:iCs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A1C65"/>
    <w:pPr>
      <w:suppressAutoHyphens/>
      <w:spacing w:line="100" w:lineRule="atLeast"/>
      <w:ind w:left="720"/>
      <w:contextualSpacing/>
    </w:pPr>
    <w:rPr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1C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0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9E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C4EAF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7A85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71D7"/>
    <w:rPr>
      <w:rFonts w:ascii="Arial" w:eastAsiaTheme="majorEastAsia" w:hAnsi="Arial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4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AEE7-D4A7-4FC6-B0F0-0654C85A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2435</Words>
  <Characters>14611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Multisoft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Krzysztof Krasnopolski</cp:lastModifiedBy>
  <cp:revision>16</cp:revision>
  <cp:lastPrinted>2022-02-09T12:51:00Z</cp:lastPrinted>
  <dcterms:created xsi:type="dcterms:W3CDTF">2022-02-01T14:19:00Z</dcterms:created>
  <dcterms:modified xsi:type="dcterms:W3CDTF">2022-04-04T09:17:00Z</dcterms:modified>
</cp:coreProperties>
</file>